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A842" w14:textId="77777777" w:rsidR="00592220" w:rsidRPr="00862195" w:rsidRDefault="00592220" w:rsidP="009B7473">
      <w:pPr>
        <w:rPr>
          <w:sz w:val="12"/>
          <w:szCs w:val="12"/>
        </w:rPr>
      </w:pPr>
    </w:p>
    <w:p w14:paraId="3FA03DDE" w14:textId="77777777" w:rsidR="00856E5A" w:rsidRPr="00856E5A" w:rsidRDefault="00856E5A" w:rsidP="00856E5A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eastAsia="cs-CZ"/>
        </w:rPr>
      </w:pPr>
    </w:p>
    <w:p w14:paraId="01723D14" w14:textId="0AD6514D" w:rsidR="00856E5A" w:rsidRPr="00856E5A" w:rsidRDefault="00856E5A" w:rsidP="00856E5A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eastAsia="cs-CZ"/>
        </w:rPr>
      </w:pPr>
      <w:r w:rsidRPr="00856E5A">
        <w:rPr>
          <w:rFonts w:ascii="Arial" w:hAnsi="Arial" w:cs="Arial"/>
          <w:b/>
          <w:bCs/>
          <w:iCs/>
          <w:sz w:val="28"/>
          <w:szCs w:val="28"/>
          <w:lang w:eastAsia="cs-CZ"/>
        </w:rPr>
        <w:t>Ročná správa</w:t>
      </w:r>
    </w:p>
    <w:p w14:paraId="169DCA10" w14:textId="77777777" w:rsidR="00856E5A" w:rsidRPr="00856E5A" w:rsidRDefault="00856E5A" w:rsidP="00856E5A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eastAsia="cs-CZ"/>
        </w:rPr>
      </w:pPr>
      <w:r w:rsidRPr="00856E5A">
        <w:rPr>
          <w:rFonts w:ascii="Arial" w:hAnsi="Arial" w:cs="Arial"/>
          <w:b/>
          <w:bCs/>
          <w:iCs/>
          <w:sz w:val="28"/>
          <w:szCs w:val="28"/>
          <w:lang w:eastAsia="cs-CZ"/>
        </w:rPr>
        <w:t>o</w:t>
      </w:r>
      <w:r w:rsidR="003E4FA8">
        <w:rPr>
          <w:rFonts w:ascii="Arial" w:hAnsi="Arial" w:cs="Arial"/>
          <w:b/>
          <w:bCs/>
          <w:iCs/>
          <w:sz w:val="28"/>
          <w:szCs w:val="28"/>
          <w:lang w:eastAsia="cs-CZ"/>
        </w:rPr>
        <w:t> kontrolnej činnosti za rok 20</w:t>
      </w:r>
      <w:r w:rsidR="00342228">
        <w:rPr>
          <w:rFonts w:ascii="Arial" w:hAnsi="Arial" w:cs="Arial"/>
          <w:b/>
          <w:bCs/>
          <w:iCs/>
          <w:sz w:val="28"/>
          <w:szCs w:val="28"/>
          <w:lang w:eastAsia="cs-CZ"/>
        </w:rPr>
        <w:t>22</w:t>
      </w:r>
    </w:p>
    <w:p w14:paraId="3E5D7838" w14:textId="77777777" w:rsidR="00856E5A" w:rsidRPr="00856E5A" w:rsidRDefault="00856E5A" w:rsidP="00856E5A">
      <w:pPr>
        <w:spacing w:line="360" w:lineRule="auto"/>
        <w:jc w:val="both"/>
        <w:rPr>
          <w:lang w:eastAsia="cs-CZ"/>
        </w:rPr>
      </w:pPr>
    </w:p>
    <w:p w14:paraId="22D9C85C" w14:textId="77777777" w:rsidR="00856E5A" w:rsidRPr="00856E5A" w:rsidRDefault="00856E5A" w:rsidP="00856E5A">
      <w:pPr>
        <w:spacing w:line="360" w:lineRule="auto"/>
        <w:ind w:firstLine="708"/>
        <w:jc w:val="both"/>
        <w:rPr>
          <w:lang w:eastAsia="cs-CZ"/>
        </w:rPr>
      </w:pPr>
      <w:r w:rsidRPr="00856E5A">
        <w:rPr>
          <w:lang w:eastAsia="cs-CZ"/>
        </w:rPr>
        <w:t xml:space="preserve">Na základe  ustanovenia  § </w:t>
      </w:r>
      <w:smartTag w:uri="urn:schemas-microsoft-com:office:smarttags" w:element="metricconverter">
        <w:smartTagPr>
          <w:attr w:name="ProductID" w:val="18 f"/>
        </w:smartTagPr>
        <w:r w:rsidRPr="00856E5A">
          <w:rPr>
            <w:lang w:eastAsia="cs-CZ"/>
          </w:rPr>
          <w:t>18 f</w:t>
        </w:r>
      </w:smartTag>
      <w:r w:rsidRPr="00856E5A">
        <w:rPr>
          <w:lang w:eastAsia="cs-CZ"/>
        </w:rPr>
        <w:t xml:space="preserve"> ods. 1 písm. e)  zákona č. 369/1990 Z. z. o obecnom zriadení predkladám mestskému zastupiteľstvu  ročnú správu o</w:t>
      </w:r>
      <w:r w:rsidR="003E4FA8">
        <w:rPr>
          <w:lang w:eastAsia="cs-CZ"/>
        </w:rPr>
        <w:t> kontrolnej činnosti za rok 20</w:t>
      </w:r>
      <w:r w:rsidR="00342228">
        <w:rPr>
          <w:lang w:eastAsia="cs-CZ"/>
        </w:rPr>
        <w:t>22</w:t>
      </w:r>
      <w:r w:rsidRPr="00856E5A">
        <w:rPr>
          <w:lang w:eastAsia="cs-CZ"/>
        </w:rPr>
        <w:t>.</w:t>
      </w:r>
    </w:p>
    <w:p w14:paraId="17E842A6" w14:textId="77777777" w:rsidR="00856E5A" w:rsidRDefault="00856E5A" w:rsidP="00856E5A">
      <w:pPr>
        <w:spacing w:line="360" w:lineRule="auto"/>
        <w:jc w:val="both"/>
        <w:rPr>
          <w:lang w:eastAsia="cs-CZ"/>
        </w:rPr>
      </w:pPr>
      <w:r w:rsidRPr="00856E5A">
        <w:rPr>
          <w:lang w:eastAsia="cs-CZ"/>
        </w:rPr>
        <w:t xml:space="preserve">      Kontro</w:t>
      </w:r>
      <w:r w:rsidR="003E4FA8">
        <w:rPr>
          <w:lang w:eastAsia="cs-CZ"/>
        </w:rPr>
        <w:t>lnú činnosť v období od 1.1.20</w:t>
      </w:r>
      <w:r w:rsidR="00342228">
        <w:rPr>
          <w:lang w:eastAsia="cs-CZ"/>
        </w:rPr>
        <w:t>22</w:t>
      </w:r>
      <w:r w:rsidR="003E4FA8">
        <w:rPr>
          <w:lang w:eastAsia="cs-CZ"/>
        </w:rPr>
        <w:t xml:space="preserve"> do 31.12.20</w:t>
      </w:r>
      <w:r w:rsidR="00342228">
        <w:rPr>
          <w:lang w:eastAsia="cs-CZ"/>
        </w:rPr>
        <w:t>22</w:t>
      </w:r>
      <w:r w:rsidRPr="00856E5A">
        <w:rPr>
          <w:lang w:eastAsia="cs-CZ"/>
        </w:rPr>
        <w:t xml:space="preserve"> som vykonával v súlade s kompetenciami vyplývajúcimi zo zákona č. 369/1990 Zb. o obecnom zriadení v znení neskorších predpisov</w:t>
      </w:r>
      <w:r w:rsidR="001E6C0D">
        <w:rPr>
          <w:lang w:eastAsia="cs-CZ"/>
        </w:rPr>
        <w:t xml:space="preserve">, zákona č. </w:t>
      </w:r>
      <w:r w:rsidR="001E6C0D" w:rsidRPr="001E6C0D">
        <w:rPr>
          <w:lang w:eastAsia="cs-CZ"/>
        </w:rPr>
        <w:t xml:space="preserve"> 357/2015 Z.</w:t>
      </w:r>
      <w:r w:rsidR="00342228">
        <w:rPr>
          <w:lang w:eastAsia="cs-CZ"/>
        </w:rPr>
        <w:t xml:space="preserve"> </w:t>
      </w:r>
      <w:r w:rsidR="001E6C0D" w:rsidRPr="001E6C0D">
        <w:rPr>
          <w:lang w:eastAsia="cs-CZ"/>
        </w:rPr>
        <w:t>z. o finančnej kontrole a audite a o zmene a doplnení niektorých zákonov v platnom znení</w:t>
      </w:r>
      <w:r w:rsidRPr="00856E5A">
        <w:rPr>
          <w:lang w:eastAsia="cs-CZ"/>
        </w:rPr>
        <w:t xml:space="preserve"> a na základe plánov kontrolných činností. </w:t>
      </w:r>
    </w:p>
    <w:p w14:paraId="445189E2" w14:textId="77777777" w:rsidR="00610881" w:rsidRPr="00856E5A" w:rsidRDefault="00610881" w:rsidP="00856E5A">
      <w:pPr>
        <w:spacing w:line="360" w:lineRule="auto"/>
        <w:jc w:val="both"/>
        <w:rPr>
          <w:lang w:eastAsia="cs-CZ"/>
        </w:rPr>
      </w:pPr>
    </w:p>
    <w:p w14:paraId="07238A0F" w14:textId="77777777" w:rsidR="00856E5A" w:rsidRDefault="00856E5A" w:rsidP="00856E5A">
      <w:pPr>
        <w:spacing w:line="360" w:lineRule="auto"/>
        <w:jc w:val="both"/>
        <w:rPr>
          <w:lang w:eastAsia="cs-CZ"/>
        </w:rPr>
      </w:pPr>
      <w:r w:rsidRPr="00856E5A">
        <w:rPr>
          <w:lang w:eastAsia="cs-CZ"/>
        </w:rPr>
        <w:tab/>
        <w:t xml:space="preserve">Plány kontrolnej činnosti boli schválené Mestským zastupiteľstvom.    </w:t>
      </w:r>
    </w:p>
    <w:p w14:paraId="79740496" w14:textId="77777777" w:rsidR="00610881" w:rsidRPr="00856E5A" w:rsidRDefault="00610881" w:rsidP="00856E5A">
      <w:pPr>
        <w:spacing w:line="360" w:lineRule="auto"/>
        <w:jc w:val="both"/>
        <w:rPr>
          <w:lang w:eastAsia="cs-CZ"/>
        </w:rPr>
      </w:pPr>
    </w:p>
    <w:p w14:paraId="72E0F5F6" w14:textId="77777777" w:rsidR="00856E5A" w:rsidRPr="00856E5A" w:rsidRDefault="00856E5A" w:rsidP="00856E5A">
      <w:pPr>
        <w:spacing w:line="360" w:lineRule="auto"/>
        <w:ind w:firstLine="360"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V nadväznosti na plány kontrolnej činnosti, prijaté uznesenia MsZ, ako aj v súlade so zákonom č. 357/2015 Z.</w:t>
      </w:r>
      <w:r w:rsidR="00342228">
        <w:rPr>
          <w:iCs/>
          <w:color w:val="000000"/>
          <w:lang w:eastAsia="cs-CZ"/>
        </w:rPr>
        <w:t xml:space="preserve"> </w:t>
      </w:r>
      <w:r w:rsidRPr="00856E5A">
        <w:rPr>
          <w:iCs/>
          <w:color w:val="000000"/>
          <w:lang w:eastAsia="cs-CZ"/>
        </w:rPr>
        <w:t>z. o finančnej kontrole a audite a o zmene a doplnení niektorých zákonov v platnom znení kontrolná činnosť za sledované obdobie bola zameraná na:</w:t>
      </w:r>
    </w:p>
    <w:p w14:paraId="3B48C7CB" w14:textId="77777777" w:rsidR="00856E5A" w:rsidRPr="00856E5A" w:rsidRDefault="00856E5A" w:rsidP="00856E5A">
      <w:pPr>
        <w:numPr>
          <w:ilvl w:val="0"/>
          <w:numId w:val="6"/>
        </w:numPr>
        <w:tabs>
          <w:tab w:val="num" w:pos="360"/>
        </w:tabs>
        <w:spacing w:line="360" w:lineRule="auto"/>
        <w:ind w:left="360"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 xml:space="preserve">výkon kontrolnej činnosti, </w:t>
      </w:r>
    </w:p>
    <w:p w14:paraId="72258019" w14:textId="77777777" w:rsidR="00856E5A" w:rsidRPr="00856E5A" w:rsidRDefault="00856E5A" w:rsidP="00856E5A">
      <w:pPr>
        <w:numPr>
          <w:ilvl w:val="0"/>
          <w:numId w:val="6"/>
        </w:numPr>
        <w:tabs>
          <w:tab w:val="num" w:pos="360"/>
        </w:tabs>
        <w:spacing w:line="360" w:lineRule="auto"/>
        <w:ind w:left="360"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výkon iných odborných činností, najmä spracovanie odborných stanovísk v súlade so zákonom č. 369/1990 Zb. o obecnom zriadení v z. n. p.,</w:t>
      </w:r>
    </w:p>
    <w:p w14:paraId="23B0389E" w14:textId="77777777" w:rsidR="00856E5A" w:rsidRDefault="00856E5A" w:rsidP="00856E5A">
      <w:pPr>
        <w:numPr>
          <w:ilvl w:val="0"/>
          <w:numId w:val="6"/>
        </w:numPr>
        <w:tabs>
          <w:tab w:val="num" w:pos="360"/>
        </w:tabs>
        <w:spacing w:line="360" w:lineRule="auto"/>
        <w:ind w:left="360"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šetrenie sťažností na základe požiadaviek primátora mesta.</w:t>
      </w:r>
    </w:p>
    <w:p w14:paraId="3A78D0DA" w14:textId="77777777" w:rsidR="00610881" w:rsidRPr="00856E5A" w:rsidRDefault="00610881" w:rsidP="00856E5A">
      <w:pPr>
        <w:numPr>
          <w:ilvl w:val="0"/>
          <w:numId w:val="6"/>
        </w:numPr>
        <w:tabs>
          <w:tab w:val="num" w:pos="360"/>
        </w:tabs>
        <w:spacing w:line="360" w:lineRule="auto"/>
        <w:ind w:left="360"/>
        <w:jc w:val="both"/>
        <w:rPr>
          <w:iCs/>
          <w:color w:val="000000"/>
          <w:lang w:eastAsia="cs-CZ"/>
        </w:rPr>
      </w:pPr>
    </w:p>
    <w:p w14:paraId="47F111AA" w14:textId="77777777" w:rsidR="00856E5A" w:rsidRPr="00856E5A" w:rsidRDefault="00856E5A" w:rsidP="00856E5A">
      <w:pPr>
        <w:spacing w:line="360" w:lineRule="auto"/>
        <w:ind w:left="360"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Okrem tejto činnosti som sa zúčastňoval:</w:t>
      </w:r>
    </w:p>
    <w:p w14:paraId="063F71C4" w14:textId="77777777" w:rsidR="00856E5A" w:rsidRPr="00856E5A" w:rsidRDefault="00856E5A" w:rsidP="00856E5A">
      <w:pPr>
        <w:numPr>
          <w:ilvl w:val="0"/>
          <w:numId w:val="6"/>
        </w:numPr>
        <w:spacing w:line="360" w:lineRule="auto"/>
        <w:contextualSpacing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 xml:space="preserve"> zasadnutí valných zhromaždení obchodných spoločností založených mestom,</w:t>
      </w:r>
    </w:p>
    <w:p w14:paraId="4AFC18DC" w14:textId="77777777" w:rsidR="00856E5A" w:rsidRPr="00856E5A" w:rsidRDefault="00856E5A" w:rsidP="00856E5A">
      <w:pPr>
        <w:numPr>
          <w:ilvl w:val="0"/>
          <w:numId w:val="6"/>
        </w:numPr>
        <w:spacing w:line="360" w:lineRule="auto"/>
        <w:contextualSpacing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 dozorných rád obchodných spoločností založených mestom,</w:t>
      </w:r>
    </w:p>
    <w:p w14:paraId="445293A7" w14:textId="77777777" w:rsidR="00856E5A" w:rsidRPr="00856E5A" w:rsidRDefault="00856E5A" w:rsidP="00856E5A">
      <w:pPr>
        <w:numPr>
          <w:ilvl w:val="0"/>
          <w:numId w:val="6"/>
        </w:numPr>
        <w:spacing w:line="360" w:lineRule="auto"/>
        <w:contextualSpacing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 na požiadanie pána primátora som sa zúčastňoval viacerých rokovaní mesta,</w:t>
      </w:r>
    </w:p>
    <w:p w14:paraId="2EF73E71" w14:textId="77777777" w:rsidR="00856E5A" w:rsidRDefault="00856E5A" w:rsidP="00856E5A">
      <w:pPr>
        <w:numPr>
          <w:ilvl w:val="0"/>
          <w:numId w:val="6"/>
        </w:numPr>
        <w:spacing w:line="360" w:lineRule="auto"/>
        <w:contextualSpacing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na pripomienkovaní zmlúv a dohôd.</w:t>
      </w:r>
    </w:p>
    <w:p w14:paraId="5E23478C" w14:textId="77777777" w:rsidR="00610881" w:rsidRPr="00856E5A" w:rsidRDefault="00610881" w:rsidP="00856E5A">
      <w:pPr>
        <w:numPr>
          <w:ilvl w:val="0"/>
          <w:numId w:val="6"/>
        </w:numPr>
        <w:spacing w:line="360" w:lineRule="auto"/>
        <w:contextualSpacing/>
        <w:jc w:val="both"/>
        <w:rPr>
          <w:iCs/>
          <w:color w:val="000000"/>
          <w:lang w:eastAsia="cs-CZ"/>
        </w:rPr>
      </w:pPr>
    </w:p>
    <w:p w14:paraId="0A7C9F2D" w14:textId="77777777" w:rsidR="00856E5A" w:rsidRPr="00144318" w:rsidRDefault="00E60D18" w:rsidP="00144318">
      <w:pPr>
        <w:numPr>
          <w:ilvl w:val="0"/>
          <w:numId w:val="8"/>
        </w:numPr>
        <w:spacing w:line="360" w:lineRule="auto"/>
        <w:contextualSpacing/>
        <w:jc w:val="both"/>
        <w:rPr>
          <w:b/>
          <w:iCs/>
          <w:lang w:eastAsia="cs-CZ"/>
        </w:rPr>
      </w:pPr>
      <w:r>
        <w:rPr>
          <w:b/>
          <w:iCs/>
          <w:lang w:eastAsia="cs-CZ"/>
        </w:rPr>
        <w:t>V januári 20</w:t>
      </w:r>
      <w:r w:rsidR="00144318">
        <w:rPr>
          <w:b/>
          <w:iCs/>
          <w:lang w:eastAsia="cs-CZ"/>
        </w:rPr>
        <w:t>22</w:t>
      </w:r>
      <w:r>
        <w:rPr>
          <w:b/>
          <w:iCs/>
          <w:lang w:eastAsia="cs-CZ"/>
        </w:rPr>
        <w:t xml:space="preserve">  /Dokument - </w:t>
      </w:r>
      <w:r w:rsidRPr="00E60D18">
        <w:t xml:space="preserve"> </w:t>
      </w:r>
      <w:r w:rsidRPr="00E60D18">
        <w:rPr>
          <w:b/>
          <w:iCs/>
          <w:lang w:eastAsia="cs-CZ"/>
        </w:rPr>
        <w:t>Stanovisko</w:t>
      </w:r>
      <w:r>
        <w:rPr>
          <w:b/>
          <w:iCs/>
          <w:lang w:eastAsia="cs-CZ"/>
        </w:rPr>
        <w:t xml:space="preserve"> </w:t>
      </w:r>
      <w:r w:rsidRPr="00E60D18">
        <w:rPr>
          <w:b/>
          <w:iCs/>
          <w:lang w:eastAsia="cs-CZ"/>
        </w:rPr>
        <w:t xml:space="preserve">k návrhu rozpočtu mesta Šamorín na roky </w:t>
      </w:r>
      <w:r w:rsidR="00144318">
        <w:rPr>
          <w:b/>
          <w:iCs/>
          <w:lang w:eastAsia="cs-CZ"/>
        </w:rPr>
        <w:t>2022-2024</w:t>
      </w:r>
      <w:r w:rsidR="00856E5A" w:rsidRPr="00E60D18">
        <w:rPr>
          <w:iCs/>
          <w:lang w:eastAsia="cs-CZ"/>
        </w:rPr>
        <w:t xml:space="preserve"> </w:t>
      </w:r>
      <w:r w:rsidRPr="00E60D18">
        <w:rPr>
          <w:b/>
          <w:iCs/>
          <w:lang w:eastAsia="cs-CZ"/>
        </w:rPr>
        <w:t xml:space="preserve">zo dňa </w:t>
      </w:r>
      <w:r w:rsidR="00144318">
        <w:rPr>
          <w:b/>
          <w:iCs/>
          <w:lang w:eastAsia="cs-CZ"/>
        </w:rPr>
        <w:t>01.02.2022</w:t>
      </w:r>
      <w:r w:rsidRPr="00144318">
        <w:rPr>
          <w:iCs/>
          <w:lang w:eastAsia="cs-CZ"/>
        </w:rPr>
        <w:t xml:space="preserve"> /</w:t>
      </w:r>
      <w:r w:rsidR="00856E5A" w:rsidRPr="00144318">
        <w:rPr>
          <w:iCs/>
          <w:lang w:eastAsia="cs-CZ"/>
        </w:rPr>
        <w:t>bolo vypracované a predložené mestskému zastupiteľstvu stanovisko hlavného kontrolóra k  návrhu roz</w:t>
      </w:r>
      <w:r w:rsidRPr="00144318">
        <w:rPr>
          <w:iCs/>
          <w:lang w:eastAsia="cs-CZ"/>
        </w:rPr>
        <w:t>počtu mesta Šamorín na roky 20</w:t>
      </w:r>
      <w:r w:rsidR="00144318">
        <w:rPr>
          <w:iCs/>
          <w:lang w:eastAsia="cs-CZ"/>
        </w:rPr>
        <w:t>22-2024</w:t>
      </w:r>
      <w:r w:rsidR="00856E5A" w:rsidRPr="00144318">
        <w:rPr>
          <w:iCs/>
          <w:lang w:eastAsia="cs-CZ"/>
        </w:rPr>
        <w:t xml:space="preserve"> s nasledovným stanoviskom:</w:t>
      </w:r>
    </w:p>
    <w:p w14:paraId="1B31B997" w14:textId="77777777" w:rsidR="005B141E" w:rsidRDefault="005B141E" w:rsidP="00144318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</w:p>
    <w:p w14:paraId="4DE93DD3" w14:textId="77777777" w:rsidR="005B141E" w:rsidRDefault="005B141E" w:rsidP="00144318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</w:p>
    <w:p w14:paraId="74EAF452" w14:textId="77777777" w:rsidR="005B141E" w:rsidRDefault="005B141E" w:rsidP="00144318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</w:p>
    <w:p w14:paraId="040C6D0F" w14:textId="77777777" w:rsidR="005B141E" w:rsidRDefault="005B141E" w:rsidP="00144318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</w:p>
    <w:p w14:paraId="69F3489A" w14:textId="74ABF615" w:rsidR="00144318" w:rsidRPr="00144318" w:rsidRDefault="00144318" w:rsidP="00144318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  <w:r w:rsidRPr="00144318">
        <w:rPr>
          <w:b/>
          <w:iCs/>
          <w:lang w:eastAsia="cs-CZ"/>
        </w:rPr>
        <w:lastRenderedPageBreak/>
        <w:t xml:space="preserve">Silnou stránkou navrhnutého rozpočtu je udržanie  prebytku bežného rozpočtu, a vysoké výdavky na rozvojové aktivity. </w:t>
      </w:r>
    </w:p>
    <w:p w14:paraId="3535322F" w14:textId="4AB0F607" w:rsidR="00144318" w:rsidRDefault="00144318" w:rsidP="00144318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  <w:r w:rsidRPr="00144318">
        <w:rPr>
          <w:b/>
          <w:iCs/>
          <w:lang w:eastAsia="cs-CZ"/>
        </w:rPr>
        <w:t xml:space="preserve">Rozpočet na rok 2022 bol zostavený v zmysle zákona č.583/2004 Z.z. o rozpočtových pravidlách územnej samosprávy a o zmene a doplnení niektorých zákonov.      </w:t>
      </w:r>
    </w:p>
    <w:p w14:paraId="54D300AD" w14:textId="77777777" w:rsidR="00144318" w:rsidRDefault="00144318" w:rsidP="00144318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</w:p>
    <w:p w14:paraId="3DCDD141" w14:textId="77777777" w:rsidR="00144318" w:rsidRDefault="00144318" w:rsidP="00144318">
      <w:pPr>
        <w:spacing w:line="360" w:lineRule="auto"/>
        <w:ind w:left="720"/>
        <w:contextualSpacing/>
        <w:jc w:val="both"/>
        <w:rPr>
          <w:bCs/>
          <w:iCs/>
          <w:lang w:eastAsia="cs-CZ"/>
        </w:rPr>
      </w:pPr>
      <w:r>
        <w:rPr>
          <w:b/>
          <w:iCs/>
          <w:lang w:eastAsia="cs-CZ"/>
        </w:rPr>
        <w:t>V januári 2022  /</w:t>
      </w:r>
      <w:r w:rsidRPr="00144318">
        <w:rPr>
          <w:b/>
          <w:iCs/>
          <w:lang w:eastAsia="cs-CZ"/>
        </w:rPr>
        <w:t>Správa z kontroly č.HK 2A/2022</w:t>
      </w:r>
      <w:r>
        <w:rPr>
          <w:b/>
          <w:iCs/>
          <w:lang w:eastAsia="cs-CZ"/>
        </w:rPr>
        <w:t xml:space="preserve"> zo dňa 30.01.2022/ </w:t>
      </w:r>
      <w:r w:rsidRPr="00144318">
        <w:rPr>
          <w:bCs/>
          <w:iCs/>
          <w:lang w:eastAsia="cs-CZ"/>
        </w:rPr>
        <w:t>bola vykonaná kontrola  správnosti postupu mesta pri správe miestneho poplatku na rozvoj, najmä správnosť vyrubenia poplatku, vymáhanie poplatku a správnosť použitia výnosu z</w:t>
      </w:r>
      <w:r>
        <w:rPr>
          <w:bCs/>
          <w:iCs/>
          <w:lang w:eastAsia="cs-CZ"/>
        </w:rPr>
        <w:t> </w:t>
      </w:r>
      <w:r w:rsidRPr="00144318">
        <w:rPr>
          <w:bCs/>
          <w:iCs/>
          <w:lang w:eastAsia="cs-CZ"/>
        </w:rPr>
        <w:t>poplatku</w:t>
      </w:r>
      <w:r>
        <w:rPr>
          <w:bCs/>
          <w:iCs/>
          <w:lang w:eastAsia="cs-CZ"/>
        </w:rPr>
        <w:t xml:space="preserve"> s nasledovným stanoviskom:</w:t>
      </w:r>
    </w:p>
    <w:p w14:paraId="1BE16D60" w14:textId="77777777" w:rsidR="00144318" w:rsidRDefault="00144318" w:rsidP="00144318">
      <w:pPr>
        <w:spacing w:line="360" w:lineRule="auto"/>
        <w:ind w:left="720"/>
        <w:contextualSpacing/>
        <w:jc w:val="both"/>
        <w:rPr>
          <w:bCs/>
          <w:iCs/>
          <w:lang w:eastAsia="cs-CZ"/>
        </w:rPr>
      </w:pPr>
    </w:p>
    <w:p w14:paraId="322DCFA5" w14:textId="5D9A76C0" w:rsidR="00144318" w:rsidRPr="00EC71B8" w:rsidRDefault="00144318" w:rsidP="00144318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  <w:r w:rsidRPr="00EC71B8">
        <w:rPr>
          <w:b/>
          <w:iCs/>
          <w:lang w:eastAsia="cs-CZ"/>
        </w:rPr>
        <w:t>Z</w:t>
      </w:r>
      <w:r w:rsidR="00EC71B8" w:rsidRPr="00EC71B8">
        <w:rPr>
          <w:b/>
          <w:iCs/>
          <w:lang w:eastAsia="cs-CZ"/>
        </w:rPr>
        <w:t xml:space="preserve">áver </w:t>
      </w:r>
      <w:r w:rsidR="00EC71B8">
        <w:rPr>
          <w:b/>
          <w:iCs/>
          <w:lang w:eastAsia="cs-CZ"/>
        </w:rPr>
        <w:t>:</w:t>
      </w:r>
    </w:p>
    <w:p w14:paraId="2283C9A1" w14:textId="77777777" w:rsidR="00144318" w:rsidRPr="00144318" w:rsidRDefault="00144318" w:rsidP="00144318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  <w:r w:rsidRPr="00144318">
        <w:rPr>
          <w:b/>
          <w:iCs/>
          <w:lang w:eastAsia="cs-CZ"/>
        </w:rPr>
        <w:t>Kontrolou bolo zistené, že mesto v roku 2021 pri  správe miestneho poplatku na rozvoj postupovalo v súlade s príslušnými právnymi predpismi.</w:t>
      </w:r>
    </w:p>
    <w:p w14:paraId="34DAF36A" w14:textId="77777777" w:rsidR="00144318" w:rsidRDefault="00144318" w:rsidP="00144318">
      <w:pPr>
        <w:spacing w:line="360" w:lineRule="auto"/>
        <w:ind w:left="720"/>
        <w:contextualSpacing/>
        <w:jc w:val="both"/>
        <w:rPr>
          <w:bCs/>
          <w:iCs/>
          <w:lang w:eastAsia="cs-CZ"/>
        </w:rPr>
      </w:pPr>
    </w:p>
    <w:p w14:paraId="4EB8FFC0" w14:textId="77777777" w:rsidR="00144318" w:rsidRPr="00144318" w:rsidRDefault="00144318" w:rsidP="00144318">
      <w:pPr>
        <w:spacing w:line="360" w:lineRule="auto"/>
        <w:ind w:left="720"/>
        <w:contextualSpacing/>
        <w:jc w:val="both"/>
        <w:rPr>
          <w:bCs/>
          <w:iCs/>
          <w:lang w:eastAsia="cs-CZ"/>
        </w:rPr>
      </w:pPr>
      <w:r>
        <w:rPr>
          <w:bCs/>
          <w:iCs/>
          <w:lang w:eastAsia="cs-CZ"/>
        </w:rPr>
        <w:t>Správa bola predložená Najvyššiemu kontrolnému úradu SR v priebehu vykonania kontroly týmto úradom.</w:t>
      </w:r>
    </w:p>
    <w:p w14:paraId="2A384537" w14:textId="77777777" w:rsidR="00144318" w:rsidRPr="00144318" w:rsidRDefault="00144318" w:rsidP="00144318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</w:p>
    <w:p w14:paraId="4BC40800" w14:textId="77777777" w:rsidR="00144318" w:rsidRPr="00144318" w:rsidRDefault="00144318" w:rsidP="00144318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</w:p>
    <w:p w14:paraId="3A73CA9B" w14:textId="77777777" w:rsidR="00856E5A" w:rsidRPr="001C7670" w:rsidRDefault="006557C3" w:rsidP="00856E5A">
      <w:pPr>
        <w:numPr>
          <w:ilvl w:val="0"/>
          <w:numId w:val="8"/>
        </w:numPr>
        <w:spacing w:line="360" w:lineRule="auto"/>
        <w:contextualSpacing/>
        <w:jc w:val="both"/>
        <w:rPr>
          <w:b/>
          <w:iCs/>
          <w:lang w:eastAsia="cs-CZ"/>
        </w:rPr>
      </w:pPr>
      <w:r>
        <w:rPr>
          <w:b/>
          <w:iCs/>
          <w:lang w:eastAsia="cs-CZ"/>
        </w:rPr>
        <w:t>V období február a marec   20</w:t>
      </w:r>
      <w:r w:rsidR="00154FA6">
        <w:rPr>
          <w:b/>
          <w:iCs/>
          <w:lang w:eastAsia="cs-CZ"/>
        </w:rPr>
        <w:t>22</w:t>
      </w:r>
      <w:r w:rsidR="00856E5A" w:rsidRPr="00856E5A">
        <w:rPr>
          <w:iCs/>
          <w:lang w:eastAsia="cs-CZ"/>
        </w:rPr>
        <w:t xml:space="preserve"> na  základe plánu kontrolnej činnosti boli vykonané kontroly </w:t>
      </w:r>
      <w:r w:rsidR="000F1950">
        <w:rPr>
          <w:iCs/>
          <w:lang w:eastAsia="cs-CZ"/>
        </w:rPr>
        <w:t>inventarizácie majetku, záväzkov a rozdielu majetku a</w:t>
      </w:r>
      <w:r w:rsidR="00E30F17">
        <w:rPr>
          <w:iCs/>
          <w:lang w:eastAsia="cs-CZ"/>
        </w:rPr>
        <w:t> záväzkov,</w:t>
      </w:r>
      <w:r w:rsidR="000F1950">
        <w:rPr>
          <w:iCs/>
          <w:lang w:eastAsia="cs-CZ"/>
        </w:rPr>
        <w:t xml:space="preserve"> kontroly </w:t>
      </w:r>
      <w:r w:rsidR="00856E5A" w:rsidRPr="00856E5A">
        <w:rPr>
          <w:iCs/>
          <w:lang w:eastAsia="cs-CZ"/>
        </w:rPr>
        <w:t>riadnyc</w:t>
      </w:r>
      <w:r>
        <w:rPr>
          <w:iCs/>
          <w:lang w:eastAsia="cs-CZ"/>
        </w:rPr>
        <w:t>h účtovných závierok za rok 20</w:t>
      </w:r>
      <w:r w:rsidR="00154FA6">
        <w:rPr>
          <w:iCs/>
          <w:lang w:eastAsia="cs-CZ"/>
        </w:rPr>
        <w:t>21</w:t>
      </w:r>
      <w:r w:rsidR="00856E5A" w:rsidRPr="00856E5A">
        <w:rPr>
          <w:iCs/>
          <w:lang w:eastAsia="cs-CZ"/>
        </w:rPr>
        <w:t xml:space="preserve">  </w:t>
      </w:r>
      <w:r w:rsidR="00856E5A" w:rsidRPr="00856E5A">
        <w:rPr>
          <w:b/>
          <w:bCs/>
          <w:iCs/>
          <w:lang w:eastAsia="cs-CZ"/>
        </w:rPr>
        <w:t xml:space="preserve">MsÚ Šamorín, rozpočtových organizácií mesta /Základná umelecká škola Štefana Németha – Šamorínskeho, Zariadenie pre seniorov, ZŠ Mateja Korvína s VJM Šamorín, Mestské kultúrne stredisko, ZŠ Mateja Bela, </w:t>
      </w:r>
      <w:r w:rsidR="00856E5A" w:rsidRPr="00856E5A">
        <w:rPr>
          <w:b/>
          <w:lang w:eastAsia="cs-CZ"/>
        </w:rPr>
        <w:t>Mestská knižnica Zsigmonda Zalabaiho</w:t>
      </w:r>
      <w:r w:rsidRPr="00E30F17">
        <w:rPr>
          <w:b/>
          <w:lang w:eastAsia="cs-CZ"/>
        </w:rPr>
        <w:t>/</w:t>
      </w:r>
      <w:r w:rsidR="00E30F17" w:rsidRPr="00E30F17">
        <w:rPr>
          <w:b/>
          <w:lang w:eastAsia="cs-CZ"/>
        </w:rPr>
        <w:t xml:space="preserve"> a overenie záverečného</w:t>
      </w:r>
      <w:r w:rsidR="00E71485">
        <w:rPr>
          <w:b/>
          <w:lang w:eastAsia="cs-CZ"/>
        </w:rPr>
        <w:t xml:space="preserve"> účtu mesta Šamorín za rok 20</w:t>
      </w:r>
      <w:r w:rsidR="00154FA6">
        <w:rPr>
          <w:b/>
          <w:lang w:eastAsia="cs-CZ"/>
        </w:rPr>
        <w:t>21</w:t>
      </w:r>
    </w:p>
    <w:p w14:paraId="073077A6" w14:textId="77777777" w:rsidR="001C7670" w:rsidRPr="00E71485" w:rsidRDefault="001C7670" w:rsidP="001C7670">
      <w:pPr>
        <w:spacing w:line="360" w:lineRule="auto"/>
        <w:ind w:left="720"/>
        <w:contextualSpacing/>
        <w:jc w:val="both"/>
        <w:rPr>
          <w:b/>
          <w:iCs/>
          <w:lang w:eastAsia="cs-CZ"/>
        </w:rPr>
      </w:pPr>
    </w:p>
    <w:p w14:paraId="696ADEE3" w14:textId="77777777" w:rsidR="000F1950" w:rsidRPr="00824377" w:rsidRDefault="000F1950" w:rsidP="00856E5A">
      <w:pPr>
        <w:spacing w:line="360" w:lineRule="auto"/>
        <w:jc w:val="both"/>
        <w:rPr>
          <w:b/>
          <w:lang w:eastAsia="cs-CZ"/>
        </w:rPr>
      </w:pPr>
      <w:r w:rsidRPr="00824377">
        <w:rPr>
          <w:b/>
          <w:lang w:eastAsia="cs-CZ"/>
        </w:rPr>
        <w:t>/Správa č. 20</w:t>
      </w:r>
      <w:r w:rsidR="00154FA6">
        <w:rPr>
          <w:b/>
          <w:lang w:eastAsia="cs-CZ"/>
        </w:rPr>
        <w:t>22</w:t>
      </w:r>
      <w:r w:rsidRPr="00824377">
        <w:rPr>
          <w:b/>
          <w:lang w:eastAsia="cs-CZ"/>
        </w:rPr>
        <w:t>/INV/001 o kontrole inventarizácie majetku</w:t>
      </w:r>
      <w:r w:rsidR="00944C5D">
        <w:rPr>
          <w:b/>
          <w:lang w:eastAsia="cs-CZ"/>
        </w:rPr>
        <w:t xml:space="preserve"> zo dňa 25.02.2022</w:t>
      </w:r>
      <w:r w:rsidRPr="00824377">
        <w:rPr>
          <w:b/>
          <w:lang w:eastAsia="cs-CZ"/>
        </w:rPr>
        <w:t>/</w:t>
      </w:r>
    </w:p>
    <w:p w14:paraId="43F5A486" w14:textId="77777777" w:rsidR="0056695B" w:rsidRDefault="00DF462B" w:rsidP="00856E5A">
      <w:pPr>
        <w:spacing w:line="360" w:lineRule="auto"/>
        <w:jc w:val="both"/>
        <w:rPr>
          <w:lang w:eastAsia="cs-CZ"/>
        </w:rPr>
      </w:pPr>
      <w:r w:rsidRPr="00DF462B">
        <w:rPr>
          <w:lang w:eastAsia="cs-CZ"/>
        </w:rPr>
        <w:t>Cieľom kontroly bolo preveriť dodržiavanie všeobecne záväzných právnych predpisov a vnútorných noriem mesta Šamorín</w:t>
      </w:r>
      <w:r>
        <w:rPr>
          <w:lang w:eastAsia="cs-CZ"/>
        </w:rPr>
        <w:t xml:space="preserve"> pri inventarizácii majetku, záväzkov a rozdielu majetku a</w:t>
      </w:r>
      <w:r w:rsidR="0056695B">
        <w:rPr>
          <w:lang w:eastAsia="cs-CZ"/>
        </w:rPr>
        <w:t> záväzkov mesta Šamorín a mestom zriadených rozpočtových organizácií.</w:t>
      </w:r>
    </w:p>
    <w:p w14:paraId="41B57E66" w14:textId="77777777" w:rsidR="00DF462B" w:rsidRPr="00EC71B8" w:rsidRDefault="00DF462B" w:rsidP="00856E5A">
      <w:pPr>
        <w:spacing w:line="360" w:lineRule="auto"/>
        <w:jc w:val="both"/>
        <w:rPr>
          <w:b/>
          <w:bCs/>
          <w:lang w:eastAsia="cs-CZ"/>
        </w:rPr>
      </w:pPr>
      <w:r w:rsidRPr="00EC71B8">
        <w:rPr>
          <w:b/>
          <w:bCs/>
          <w:lang w:eastAsia="cs-CZ"/>
        </w:rPr>
        <w:t>Záver kontroly:</w:t>
      </w:r>
    </w:p>
    <w:p w14:paraId="6ABEE119" w14:textId="77777777" w:rsidR="00DF462B" w:rsidRDefault="00DF462B" w:rsidP="00856E5A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t>„</w:t>
      </w:r>
      <w:r w:rsidR="0056695B">
        <w:rPr>
          <w:lang w:eastAsia="cs-CZ"/>
        </w:rPr>
        <w:t>Kontrolou bolo zistené</w:t>
      </w:r>
      <w:r w:rsidRPr="00DF462B">
        <w:rPr>
          <w:lang w:eastAsia="cs-CZ"/>
        </w:rPr>
        <w:t>, že mesto a jeho</w:t>
      </w:r>
      <w:r w:rsidR="0056695B">
        <w:rPr>
          <w:lang w:eastAsia="cs-CZ"/>
        </w:rPr>
        <w:t xml:space="preserve"> rozpočtové organizácie pri </w:t>
      </w:r>
      <w:r w:rsidRPr="00DF462B">
        <w:rPr>
          <w:lang w:eastAsia="cs-CZ"/>
        </w:rPr>
        <w:t xml:space="preserve"> vykonaní</w:t>
      </w:r>
      <w:r w:rsidR="0056695B">
        <w:rPr>
          <w:lang w:eastAsia="cs-CZ"/>
        </w:rPr>
        <w:t xml:space="preserve"> inventarizácie </w:t>
      </w:r>
      <w:r w:rsidRPr="00DF462B">
        <w:rPr>
          <w:lang w:eastAsia="cs-CZ"/>
        </w:rPr>
        <w:t xml:space="preserve"> postupovali v súlade s platnými právnymi predpismi.</w:t>
      </w:r>
      <w:r>
        <w:rPr>
          <w:lang w:eastAsia="cs-CZ"/>
        </w:rPr>
        <w:t>“</w:t>
      </w:r>
    </w:p>
    <w:p w14:paraId="37CE7850" w14:textId="77777777" w:rsidR="00154FA6" w:rsidRDefault="00154FA6" w:rsidP="00856E5A">
      <w:pPr>
        <w:spacing w:line="360" w:lineRule="auto"/>
        <w:jc w:val="both"/>
        <w:rPr>
          <w:lang w:eastAsia="cs-CZ"/>
        </w:rPr>
      </w:pPr>
    </w:p>
    <w:p w14:paraId="06EA750D" w14:textId="77777777" w:rsidR="00824377" w:rsidRPr="00824377" w:rsidRDefault="00A567EF" w:rsidP="00A567EF">
      <w:pPr>
        <w:spacing w:line="360" w:lineRule="auto"/>
        <w:jc w:val="both"/>
        <w:rPr>
          <w:b/>
          <w:lang w:eastAsia="cs-CZ"/>
        </w:rPr>
      </w:pPr>
      <w:r w:rsidRPr="00824377">
        <w:rPr>
          <w:b/>
          <w:lang w:eastAsia="cs-CZ"/>
        </w:rPr>
        <w:lastRenderedPageBreak/>
        <w:t>/Dokument</w:t>
      </w:r>
      <w:r w:rsidRPr="00824377">
        <w:rPr>
          <w:b/>
        </w:rPr>
        <w:t xml:space="preserve"> </w:t>
      </w:r>
      <w:r w:rsidRPr="00824377">
        <w:rPr>
          <w:b/>
          <w:lang w:eastAsia="cs-CZ"/>
        </w:rPr>
        <w:t>S T A N O V I S K O k záverečnému účtu mesta Šamorín za rok 20</w:t>
      </w:r>
      <w:r w:rsidR="001C7670">
        <w:rPr>
          <w:b/>
          <w:lang w:eastAsia="cs-CZ"/>
        </w:rPr>
        <w:t>21</w:t>
      </w:r>
      <w:r w:rsidR="001B675C">
        <w:rPr>
          <w:b/>
          <w:lang w:eastAsia="cs-CZ"/>
        </w:rPr>
        <w:t xml:space="preserve"> zo dňa 03.04.2022</w:t>
      </w:r>
      <w:r w:rsidRPr="00824377">
        <w:rPr>
          <w:b/>
          <w:lang w:eastAsia="cs-CZ"/>
        </w:rPr>
        <w:t xml:space="preserve">/ </w:t>
      </w:r>
    </w:p>
    <w:p w14:paraId="6B991AFC" w14:textId="77777777" w:rsidR="00DF462B" w:rsidRPr="00856E5A" w:rsidRDefault="00DF462B" w:rsidP="00856E5A">
      <w:pPr>
        <w:spacing w:line="360" w:lineRule="auto"/>
        <w:jc w:val="both"/>
        <w:rPr>
          <w:lang w:eastAsia="cs-CZ"/>
        </w:rPr>
      </w:pPr>
      <w:r w:rsidRPr="00DF462B">
        <w:rPr>
          <w:lang w:eastAsia="cs-CZ"/>
        </w:rPr>
        <w:t xml:space="preserve">Kontrola bola zameraná na správnosť </w:t>
      </w:r>
      <w:r w:rsidR="00824377">
        <w:rPr>
          <w:lang w:eastAsia="cs-CZ"/>
        </w:rPr>
        <w:t xml:space="preserve">vedenia účtovníctva, správnosť </w:t>
      </w:r>
      <w:r w:rsidRPr="00DF462B">
        <w:rPr>
          <w:lang w:eastAsia="cs-CZ"/>
        </w:rPr>
        <w:t>zostavenia ročnej účtovnej záv</w:t>
      </w:r>
      <w:r w:rsidR="00824377">
        <w:rPr>
          <w:lang w:eastAsia="cs-CZ"/>
        </w:rPr>
        <w:t xml:space="preserve">ierky, </w:t>
      </w:r>
      <w:r w:rsidRPr="00DF462B">
        <w:rPr>
          <w:lang w:eastAsia="cs-CZ"/>
        </w:rPr>
        <w:t xml:space="preserve">výsledky </w:t>
      </w:r>
      <w:r w:rsidR="00824377">
        <w:rPr>
          <w:lang w:eastAsia="cs-CZ"/>
        </w:rPr>
        <w:t xml:space="preserve">a priebeh </w:t>
      </w:r>
      <w:r w:rsidRPr="00DF462B">
        <w:rPr>
          <w:lang w:eastAsia="cs-CZ"/>
        </w:rPr>
        <w:t xml:space="preserve">hospodárenia </w:t>
      </w:r>
      <w:r w:rsidR="00824377">
        <w:rPr>
          <w:lang w:eastAsia="cs-CZ"/>
        </w:rPr>
        <w:t xml:space="preserve">mesta a jeho rozpočtových </w:t>
      </w:r>
      <w:r w:rsidR="005C4E44">
        <w:rPr>
          <w:lang w:eastAsia="cs-CZ"/>
        </w:rPr>
        <w:t>organizácií za rok 20</w:t>
      </w:r>
      <w:r w:rsidR="001C7670">
        <w:rPr>
          <w:lang w:eastAsia="cs-CZ"/>
        </w:rPr>
        <w:t>21</w:t>
      </w:r>
      <w:r w:rsidR="005C4E44">
        <w:rPr>
          <w:lang w:eastAsia="cs-CZ"/>
        </w:rPr>
        <w:t xml:space="preserve"> a </w:t>
      </w:r>
      <w:r w:rsidR="00E30F17" w:rsidRPr="00E30F17">
        <w:rPr>
          <w:lang w:eastAsia="cs-CZ"/>
        </w:rPr>
        <w:t>na overenie záverečného účtu mesta Šamorín za rok</w:t>
      </w:r>
      <w:r w:rsidR="00E30F17">
        <w:rPr>
          <w:lang w:eastAsia="cs-CZ"/>
        </w:rPr>
        <w:t xml:space="preserve"> 20</w:t>
      </w:r>
      <w:r w:rsidR="001C7670">
        <w:rPr>
          <w:lang w:eastAsia="cs-CZ"/>
        </w:rPr>
        <w:t>21</w:t>
      </w:r>
      <w:r w:rsidR="00E30F17">
        <w:rPr>
          <w:lang w:eastAsia="cs-CZ"/>
        </w:rPr>
        <w:t>.</w:t>
      </w:r>
    </w:p>
    <w:p w14:paraId="6BAD1647" w14:textId="77777777" w:rsidR="00F9587E" w:rsidRDefault="00DB0169" w:rsidP="00B83E8D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t xml:space="preserve">         </w:t>
      </w:r>
      <w:r w:rsidR="00856E5A" w:rsidRPr="00DB0169">
        <w:rPr>
          <w:iCs/>
          <w:lang w:eastAsia="cs-CZ"/>
        </w:rPr>
        <w:t>Kontrolou bolo zistené, že</w:t>
      </w:r>
      <w:r w:rsidR="00F9587E">
        <w:rPr>
          <w:iCs/>
          <w:lang w:eastAsia="cs-CZ"/>
        </w:rPr>
        <w:t>:</w:t>
      </w:r>
    </w:p>
    <w:p w14:paraId="6A3C8ED0" w14:textId="77777777" w:rsidR="00DB0169" w:rsidRDefault="00F9587E" w:rsidP="00B83E8D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t>-</w:t>
      </w:r>
      <w:r w:rsidR="00856E5A" w:rsidRPr="00DB0169">
        <w:rPr>
          <w:iCs/>
          <w:lang w:eastAsia="cs-CZ"/>
        </w:rPr>
        <w:t xml:space="preserve"> mesto Šamorín a jeho ro</w:t>
      </w:r>
      <w:r w:rsidR="00DB0169" w:rsidRPr="00DB0169">
        <w:rPr>
          <w:iCs/>
          <w:lang w:eastAsia="cs-CZ"/>
        </w:rPr>
        <w:t>zpočtové organizácie v roku 20</w:t>
      </w:r>
      <w:r w:rsidR="001C7670">
        <w:rPr>
          <w:iCs/>
          <w:lang w:eastAsia="cs-CZ"/>
        </w:rPr>
        <w:t>21</w:t>
      </w:r>
      <w:r w:rsidR="00DB0169" w:rsidRPr="00DB0169">
        <w:rPr>
          <w:iCs/>
          <w:lang w:eastAsia="cs-CZ"/>
        </w:rPr>
        <w:t xml:space="preserve"> účtovali  o stave a zmenách majetku a zdrojov jeho krytia, ako aj o príjmoch, výdavkoch a výsledku hospodárenia v sústave podvojného účtovníctva  v súlade s predpismi vyplývajúcimi z príslušných ustanovení Zákona o účtovníctve a platnej metodiky podľa Opatrenia MF SR č. MF/16786/2007-31 zo 8.augusta 2007, ktorým sa ustanovujú podrobnosti o postupoch účtovania a rámcovej účtovej osnove pre rozpočtové organizácie, príspevkové organizácie, štátne fondy, obce a vyššie územné celky v znení neskorších predpisov.</w:t>
      </w:r>
    </w:p>
    <w:p w14:paraId="303FA67E" w14:textId="77777777" w:rsidR="00DB0169" w:rsidRPr="00DB0169" w:rsidRDefault="00F9587E" w:rsidP="00B83E8D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t xml:space="preserve">  -</w:t>
      </w:r>
      <w:r w:rsidR="00DB0169">
        <w:rPr>
          <w:iCs/>
          <w:lang w:eastAsia="cs-CZ"/>
        </w:rPr>
        <w:t xml:space="preserve"> ú</w:t>
      </w:r>
      <w:r w:rsidR="00DB0169" w:rsidRPr="00DB0169">
        <w:rPr>
          <w:iCs/>
          <w:lang w:eastAsia="cs-CZ"/>
        </w:rPr>
        <w:t>čtovná závierka</w:t>
      </w:r>
      <w:r>
        <w:rPr>
          <w:iCs/>
          <w:lang w:eastAsia="cs-CZ"/>
        </w:rPr>
        <w:t xml:space="preserve"> mesta Šamorín</w:t>
      </w:r>
      <w:r w:rsidR="00DB0169" w:rsidRPr="00DB0169">
        <w:rPr>
          <w:iCs/>
          <w:lang w:eastAsia="cs-CZ"/>
        </w:rPr>
        <w:t xml:space="preserve"> </w:t>
      </w:r>
      <w:r w:rsidR="00DB0169">
        <w:rPr>
          <w:iCs/>
          <w:lang w:eastAsia="cs-CZ"/>
        </w:rPr>
        <w:t>za rok 20</w:t>
      </w:r>
      <w:r w:rsidR="001C7670">
        <w:rPr>
          <w:iCs/>
          <w:lang w:eastAsia="cs-CZ"/>
        </w:rPr>
        <w:t>21</w:t>
      </w:r>
      <w:r w:rsidR="00DB0169">
        <w:rPr>
          <w:iCs/>
          <w:lang w:eastAsia="cs-CZ"/>
        </w:rPr>
        <w:t xml:space="preserve"> </w:t>
      </w:r>
      <w:r w:rsidR="00DB0169" w:rsidRPr="00DB0169">
        <w:rPr>
          <w:iCs/>
          <w:lang w:eastAsia="cs-CZ"/>
        </w:rPr>
        <w:t>vyjadruje pravdivo a vierohodne vo všetkých významných súvislostiach reálny obraz o stave majetku, záväzkov a rozdielu majetku a záväzkov  mesta Šamorín</w:t>
      </w:r>
      <w:r w:rsidR="002107F0">
        <w:rPr>
          <w:iCs/>
          <w:lang w:eastAsia="cs-CZ"/>
        </w:rPr>
        <w:t>,</w:t>
      </w:r>
      <w:r w:rsidR="00DB0169" w:rsidRPr="00DB0169">
        <w:rPr>
          <w:iCs/>
          <w:lang w:eastAsia="cs-CZ"/>
        </w:rPr>
        <w:t xml:space="preserve"> </w:t>
      </w:r>
    </w:p>
    <w:p w14:paraId="14E2FCF4" w14:textId="77777777" w:rsidR="00F72736" w:rsidRDefault="00B0664C" w:rsidP="00F72736">
      <w:pPr>
        <w:rPr>
          <w:iCs/>
          <w:lang w:eastAsia="cs-CZ"/>
        </w:rPr>
      </w:pPr>
      <w:r>
        <w:rPr>
          <w:iCs/>
          <w:lang w:eastAsia="cs-CZ"/>
        </w:rPr>
        <w:t>-</w:t>
      </w:r>
      <w:r w:rsidR="00F72736" w:rsidRPr="00F72736">
        <w:t xml:space="preserve"> </w:t>
      </w:r>
      <w:r w:rsidR="00F72736">
        <w:rPr>
          <w:iCs/>
          <w:lang w:eastAsia="cs-CZ"/>
        </w:rPr>
        <w:t>p</w:t>
      </w:r>
      <w:r w:rsidR="00F72736" w:rsidRPr="00F72736">
        <w:rPr>
          <w:iCs/>
          <w:lang w:eastAsia="cs-CZ"/>
        </w:rPr>
        <w:t>rezentované údaje  v záverečnom účte  mesta sú zhodné s  údajmi účtovníctva a účtovnej závierky za rok 2021</w:t>
      </w:r>
      <w:r w:rsidR="002107F0">
        <w:rPr>
          <w:iCs/>
          <w:lang w:eastAsia="cs-CZ"/>
        </w:rPr>
        <w:t>,</w:t>
      </w:r>
    </w:p>
    <w:p w14:paraId="630ED390" w14:textId="5D886110" w:rsidR="00F72736" w:rsidRPr="00F72736" w:rsidRDefault="00F72736" w:rsidP="00F72736">
      <w:pPr>
        <w:rPr>
          <w:iCs/>
          <w:lang w:eastAsia="cs-CZ"/>
        </w:rPr>
      </w:pPr>
      <w:r>
        <w:rPr>
          <w:iCs/>
          <w:lang w:eastAsia="cs-CZ"/>
        </w:rPr>
        <w:t>-</w:t>
      </w:r>
      <w:r w:rsidRPr="00F72736">
        <w:t xml:space="preserve"> </w:t>
      </w:r>
      <w:r>
        <w:rPr>
          <w:iCs/>
          <w:lang w:eastAsia="cs-CZ"/>
        </w:rPr>
        <w:t>v</w:t>
      </w:r>
      <w:r w:rsidRPr="00F72736">
        <w:rPr>
          <w:iCs/>
          <w:lang w:eastAsia="cs-CZ"/>
        </w:rPr>
        <w:t xml:space="preserve">    roku 2021 došlo k zvýšeniu hodnoty  majetku mesta a RO    oproti    roku    2020    o 568 504,84 €, najmä v dôsledku zvýšenia hodnoty neobežného majetku o  1 816 312,65 EUR ,   zníženia    hodnoty   pohľadávok    o – 1 038 662,57 EUR, a zníženia finančných účtov o  -801 630,70 EUR. Mesto Šamorín prostredníctvom MsÚ a RO v roku 2021 zvýšilo   neobežný majetok v celkovej hodnote 3 161 618,55,-EUR, hodnota odpisov činí  1 345 306 EUR.  </w:t>
      </w:r>
    </w:p>
    <w:p w14:paraId="4AD71A9F" w14:textId="77777777" w:rsidR="00F72736" w:rsidRPr="00F72736" w:rsidRDefault="00F72736" w:rsidP="00F72736">
      <w:pPr>
        <w:rPr>
          <w:iCs/>
          <w:lang w:eastAsia="cs-CZ"/>
        </w:rPr>
      </w:pPr>
      <w:r w:rsidRPr="00F72736">
        <w:rPr>
          <w:iCs/>
          <w:lang w:eastAsia="cs-CZ"/>
        </w:rPr>
        <w:t>Na dlhodobé pohľadávky vykázané voči spoločnosti X Bionic Sphere vo výške  347 184 EUR bola vytvorená 100% opravná položka, čo má negatívny vplyv na hospodárenie mesta.</w:t>
      </w:r>
    </w:p>
    <w:p w14:paraId="39252166" w14:textId="77777777" w:rsidR="00F72736" w:rsidRPr="00F72736" w:rsidRDefault="00F72736" w:rsidP="00F72736">
      <w:pPr>
        <w:rPr>
          <w:iCs/>
          <w:lang w:eastAsia="cs-CZ"/>
        </w:rPr>
      </w:pPr>
      <w:r w:rsidRPr="00F72736">
        <w:rPr>
          <w:iCs/>
          <w:lang w:eastAsia="cs-CZ"/>
        </w:rPr>
        <w:t>Pohľadávka mesta Šamorín vo výške 347 184,- EUR voči spoločnosti X Bionic sphere a.s sa stala splatnou dňa 1.1.2020, z dôvodu, že spoločnosť X Bionic sphere a.s do konca roku 2019 nevybudovala a neuviedla do prevádzky športovú halu v</w:t>
      </w:r>
      <w:r w:rsidR="002107F0">
        <w:rPr>
          <w:iCs/>
          <w:lang w:eastAsia="cs-CZ"/>
        </w:rPr>
        <w:t> </w:t>
      </w:r>
      <w:r w:rsidRPr="00F72736">
        <w:rPr>
          <w:iCs/>
          <w:lang w:eastAsia="cs-CZ"/>
        </w:rPr>
        <w:t>Čilistove</w:t>
      </w:r>
      <w:r w:rsidR="002107F0">
        <w:rPr>
          <w:iCs/>
          <w:lang w:eastAsia="cs-CZ"/>
        </w:rPr>
        <w:t>,</w:t>
      </w:r>
    </w:p>
    <w:p w14:paraId="607F2583" w14:textId="77777777" w:rsidR="002107F0" w:rsidRDefault="002107F0" w:rsidP="002107F0">
      <w:pPr>
        <w:rPr>
          <w:iCs/>
        </w:rPr>
      </w:pPr>
    </w:p>
    <w:p w14:paraId="08CEFC2B" w14:textId="3BE431A0" w:rsidR="002107F0" w:rsidRPr="00873032" w:rsidRDefault="002107F0" w:rsidP="002107F0">
      <w:pPr>
        <w:rPr>
          <w:b/>
          <w:bCs/>
          <w:iCs/>
        </w:rPr>
      </w:pPr>
      <w:r w:rsidRPr="00873032">
        <w:rPr>
          <w:b/>
          <w:bCs/>
          <w:iCs/>
        </w:rPr>
        <w:t>Záver</w:t>
      </w:r>
      <w:r w:rsidR="00EC71B8">
        <w:rPr>
          <w:b/>
          <w:bCs/>
          <w:iCs/>
        </w:rPr>
        <w:t xml:space="preserve"> :</w:t>
      </w:r>
    </w:p>
    <w:p w14:paraId="07ACAE7A" w14:textId="77777777" w:rsidR="002107F0" w:rsidRPr="002107F0" w:rsidRDefault="002107F0" w:rsidP="00EC71B8">
      <w:pPr>
        <w:jc w:val="both"/>
        <w:rPr>
          <w:iCs/>
        </w:rPr>
      </w:pPr>
      <w:r w:rsidRPr="002107F0">
        <w:rPr>
          <w:iCs/>
        </w:rPr>
        <w:t>Na základe vykonanej kontroly ročnej účtovnej závierky k 31.12.2021 môžem konštatovať, že účtovníctvo mesta je vedené preukázateľným spôsobom v súlade s ustanoveniami zákona č. 431/2002 Z.z. o účtovníctve a nadväzujúcich predpisov a majetok mesta Šamorín je preukázaný inventarizáciou.  Záverečný účet  mesta bol vypracovaný na základe údajov účtovníctva mesta. V hospodárení mesta a mestských organizácií neboli zistené významné nesprávnosti.</w:t>
      </w:r>
    </w:p>
    <w:p w14:paraId="06AE4249" w14:textId="77777777" w:rsidR="002107F0" w:rsidRPr="002107F0" w:rsidRDefault="002107F0" w:rsidP="002107F0">
      <w:pPr>
        <w:rPr>
          <w:iCs/>
        </w:rPr>
      </w:pPr>
    </w:p>
    <w:p w14:paraId="66319454" w14:textId="77777777" w:rsidR="00F72736" w:rsidRPr="002107F0" w:rsidRDefault="002107F0" w:rsidP="002107F0">
      <w:pPr>
        <w:jc w:val="both"/>
        <w:rPr>
          <w:iCs/>
        </w:rPr>
      </w:pPr>
      <w:r w:rsidRPr="002107F0">
        <w:rPr>
          <w:iCs/>
        </w:rPr>
        <w:t>Na základe týchto skutočností doporučujem Mestskému zastupiteľstvu v</w:t>
      </w:r>
      <w:r>
        <w:rPr>
          <w:iCs/>
        </w:rPr>
        <w:t> </w:t>
      </w:r>
      <w:r w:rsidRPr="002107F0">
        <w:rPr>
          <w:iCs/>
        </w:rPr>
        <w:t>Šamoríne</w:t>
      </w:r>
      <w:r>
        <w:rPr>
          <w:iCs/>
        </w:rPr>
        <w:t xml:space="preserve"> </w:t>
      </w:r>
      <w:r w:rsidRPr="002107F0">
        <w:rPr>
          <w:iCs/>
        </w:rPr>
        <w:t>záverečný účet mesta za rok 2021 schváliť bez výhrad.</w:t>
      </w:r>
    </w:p>
    <w:p w14:paraId="171441FF" w14:textId="77777777" w:rsidR="00114ACF" w:rsidRDefault="00114ACF" w:rsidP="00114ACF">
      <w:pPr>
        <w:spacing w:line="360" w:lineRule="auto"/>
        <w:jc w:val="both"/>
        <w:rPr>
          <w:iCs/>
          <w:u w:val="single"/>
          <w:lang w:eastAsia="cs-CZ"/>
        </w:rPr>
      </w:pPr>
    </w:p>
    <w:p w14:paraId="7F348131" w14:textId="77777777" w:rsidR="00C82A2A" w:rsidRPr="00114ACF" w:rsidRDefault="00C82A2A" w:rsidP="00114ACF">
      <w:pPr>
        <w:spacing w:line="360" w:lineRule="auto"/>
        <w:jc w:val="both"/>
        <w:rPr>
          <w:iCs/>
          <w:u w:val="single"/>
          <w:lang w:eastAsia="cs-CZ"/>
        </w:rPr>
      </w:pPr>
      <w:r>
        <w:rPr>
          <w:iCs/>
          <w:u w:val="single"/>
          <w:lang w:eastAsia="cs-CZ"/>
        </w:rPr>
        <w:t>V priebehu marec, apríl, máj 2022</w:t>
      </w:r>
    </w:p>
    <w:p w14:paraId="1C4D1F6D" w14:textId="77777777" w:rsidR="00B0664C" w:rsidRPr="00421A2E" w:rsidRDefault="00421A2E" w:rsidP="00856E5A">
      <w:pPr>
        <w:spacing w:line="360" w:lineRule="auto"/>
        <w:jc w:val="both"/>
        <w:rPr>
          <w:b/>
          <w:iCs/>
          <w:lang w:eastAsia="cs-CZ"/>
        </w:rPr>
      </w:pPr>
      <w:r w:rsidRPr="00421A2E">
        <w:rPr>
          <w:b/>
          <w:iCs/>
          <w:lang w:eastAsia="cs-CZ"/>
        </w:rPr>
        <w:t>/</w:t>
      </w:r>
      <w:r w:rsidR="00073C07" w:rsidRPr="00421A2E">
        <w:rPr>
          <w:b/>
          <w:iCs/>
          <w:lang w:eastAsia="cs-CZ"/>
        </w:rPr>
        <w:t>Správa</w:t>
      </w:r>
      <w:r w:rsidRPr="00421A2E">
        <w:rPr>
          <w:b/>
          <w:iCs/>
          <w:lang w:eastAsia="cs-CZ"/>
        </w:rPr>
        <w:t xml:space="preserve"> č.20</w:t>
      </w:r>
      <w:r w:rsidR="00E51C53">
        <w:rPr>
          <w:b/>
          <w:iCs/>
          <w:lang w:eastAsia="cs-CZ"/>
        </w:rPr>
        <w:t>22</w:t>
      </w:r>
      <w:r w:rsidRPr="00421A2E">
        <w:rPr>
          <w:b/>
          <w:iCs/>
          <w:lang w:eastAsia="cs-CZ"/>
        </w:rPr>
        <w:t>/AREA</w:t>
      </w:r>
      <w:r w:rsidR="00073C07" w:rsidRPr="00421A2E">
        <w:rPr>
          <w:b/>
          <w:iCs/>
          <w:lang w:eastAsia="cs-CZ"/>
        </w:rPr>
        <w:t xml:space="preserve"> o kontrole účtovnej závierky </w:t>
      </w:r>
      <w:r w:rsidRPr="00421A2E">
        <w:rPr>
          <w:b/>
          <w:iCs/>
          <w:lang w:eastAsia="cs-CZ"/>
        </w:rPr>
        <w:t xml:space="preserve"> </w:t>
      </w:r>
      <w:bookmarkStart w:id="0" w:name="_Hlk144325170"/>
      <w:r w:rsidRPr="00421A2E">
        <w:rPr>
          <w:b/>
          <w:iCs/>
          <w:lang w:eastAsia="cs-CZ"/>
        </w:rPr>
        <w:t xml:space="preserve">AREA ŠAMORÍN s.r.o. </w:t>
      </w:r>
      <w:bookmarkEnd w:id="0"/>
      <w:r w:rsidRPr="00421A2E">
        <w:rPr>
          <w:b/>
          <w:iCs/>
          <w:lang w:eastAsia="cs-CZ"/>
        </w:rPr>
        <w:t>za rok 20</w:t>
      </w:r>
      <w:r w:rsidR="00E51C53">
        <w:rPr>
          <w:b/>
          <w:iCs/>
          <w:lang w:eastAsia="cs-CZ"/>
        </w:rPr>
        <w:t>2</w:t>
      </w:r>
      <w:r w:rsidR="00873032">
        <w:rPr>
          <w:b/>
          <w:iCs/>
          <w:lang w:eastAsia="cs-CZ"/>
        </w:rPr>
        <w:t>1</w:t>
      </w:r>
      <w:r w:rsidRPr="00421A2E">
        <w:rPr>
          <w:b/>
          <w:iCs/>
          <w:lang w:eastAsia="cs-CZ"/>
        </w:rPr>
        <w:t>/</w:t>
      </w:r>
    </w:p>
    <w:p w14:paraId="55BB5E5B" w14:textId="77777777" w:rsidR="00421A2E" w:rsidRDefault="00856E5A" w:rsidP="00856E5A">
      <w:pPr>
        <w:jc w:val="both"/>
        <w:rPr>
          <w:iCs/>
          <w:lang w:eastAsia="cs-CZ"/>
        </w:rPr>
      </w:pPr>
      <w:r w:rsidRPr="00856E5A">
        <w:rPr>
          <w:b/>
          <w:iCs/>
          <w:lang w:eastAsia="cs-CZ"/>
        </w:rPr>
        <w:t>Kontrolou bolo zistené, že AREA ŠAMORÍN s.r.o.</w:t>
      </w:r>
      <w:r w:rsidR="00421A2E">
        <w:rPr>
          <w:iCs/>
          <w:lang w:eastAsia="cs-CZ"/>
        </w:rPr>
        <w:t>:</w:t>
      </w:r>
    </w:p>
    <w:p w14:paraId="101FA706" w14:textId="77777777" w:rsidR="00421A2E" w:rsidRDefault="00421A2E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lastRenderedPageBreak/>
        <w:t>-</w:t>
      </w:r>
      <w:r w:rsidRPr="00421A2E">
        <w:t xml:space="preserve"> </w:t>
      </w:r>
      <w:r w:rsidRPr="00421A2E">
        <w:rPr>
          <w:iCs/>
          <w:lang w:eastAsia="cs-CZ"/>
        </w:rPr>
        <w:t xml:space="preserve"> účtuje o stave a zmenách majetku a zdrojov jeho krytia, ako aj o príjmoch, výdavkoch a výsledku hospodárenia v sústave podvojného účtovníctva  v súlade s predpismi vyplývajúcimi z príslušných ustanovení Zákona o</w:t>
      </w:r>
      <w:r w:rsidR="00806F9D">
        <w:rPr>
          <w:iCs/>
          <w:lang w:eastAsia="cs-CZ"/>
        </w:rPr>
        <w:t> </w:t>
      </w:r>
      <w:r w:rsidRPr="00421A2E">
        <w:rPr>
          <w:iCs/>
          <w:lang w:eastAsia="cs-CZ"/>
        </w:rPr>
        <w:t>účtovníctve</w:t>
      </w:r>
      <w:r w:rsidR="00806F9D">
        <w:rPr>
          <w:iCs/>
          <w:lang w:eastAsia="cs-CZ"/>
        </w:rPr>
        <w:t>,</w:t>
      </w:r>
    </w:p>
    <w:p w14:paraId="29573C1E" w14:textId="77777777" w:rsidR="00806F9D" w:rsidRDefault="00806F9D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t>-</w:t>
      </w:r>
      <w:r w:rsidRPr="00806F9D">
        <w:rPr>
          <w:iCs/>
          <w:lang w:eastAsia="cs-CZ"/>
        </w:rPr>
        <w:t xml:space="preserve"> finančné a účtovné operácie sú zúčtované na základe overených dokladov príslušnými pracovníkmi zodpovednými za ich kontrolu, schválenie a zaúčtovanie a spĺňajú všetky podmien</w:t>
      </w:r>
      <w:r>
        <w:rPr>
          <w:iCs/>
          <w:lang w:eastAsia="cs-CZ"/>
        </w:rPr>
        <w:t>ky par. 10 Zákona o účtovníctve,</w:t>
      </w:r>
    </w:p>
    <w:p w14:paraId="12AA0173" w14:textId="77777777" w:rsidR="00806F9D" w:rsidRDefault="00806F9D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t xml:space="preserve">- </w:t>
      </w:r>
      <w:r w:rsidR="00856E5A" w:rsidRPr="00856E5A">
        <w:rPr>
          <w:iCs/>
          <w:lang w:eastAsia="cs-CZ"/>
        </w:rPr>
        <w:t xml:space="preserve">hospodárila v súlade so všeobecne záväznými právnymi predpismi a zakladateľskou listinou spoločnosti. </w:t>
      </w:r>
    </w:p>
    <w:p w14:paraId="1F06553F" w14:textId="77777777" w:rsidR="00806F9D" w:rsidRDefault="00806F9D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t>- za rok 20</w:t>
      </w:r>
      <w:r w:rsidR="00967759">
        <w:rPr>
          <w:iCs/>
          <w:lang w:eastAsia="cs-CZ"/>
        </w:rPr>
        <w:t>21</w:t>
      </w:r>
      <w:r w:rsidR="00856E5A" w:rsidRPr="00856E5A">
        <w:rPr>
          <w:iCs/>
          <w:lang w:eastAsia="cs-CZ"/>
        </w:rPr>
        <w:t xml:space="preserve"> bol dosiahnutý hos</w:t>
      </w:r>
      <w:r>
        <w:rPr>
          <w:iCs/>
          <w:lang w:eastAsia="cs-CZ"/>
        </w:rPr>
        <w:t>podársky výsledok – zisk +</w:t>
      </w:r>
      <w:r w:rsidR="00CD5083">
        <w:rPr>
          <w:iCs/>
          <w:lang w:eastAsia="cs-CZ"/>
        </w:rPr>
        <w:t xml:space="preserve"> 104 556</w:t>
      </w:r>
      <w:r w:rsidR="00856E5A" w:rsidRPr="00856E5A">
        <w:rPr>
          <w:iCs/>
          <w:lang w:eastAsia="cs-CZ"/>
        </w:rPr>
        <w:t>,- EUR. Účtovn</w:t>
      </w:r>
      <w:r>
        <w:rPr>
          <w:iCs/>
          <w:lang w:eastAsia="cs-CZ"/>
        </w:rPr>
        <w:t xml:space="preserve">á závierka spoločnosti bola </w:t>
      </w:r>
      <w:r w:rsidR="00856E5A" w:rsidRPr="00856E5A">
        <w:rPr>
          <w:iCs/>
          <w:lang w:eastAsia="cs-CZ"/>
        </w:rPr>
        <w:t>vypracovaná v súlade so zákonom o účtovn</w:t>
      </w:r>
      <w:r>
        <w:rPr>
          <w:iCs/>
          <w:lang w:eastAsia="cs-CZ"/>
        </w:rPr>
        <w:t xml:space="preserve">íctve. </w:t>
      </w:r>
    </w:p>
    <w:p w14:paraId="51011BC4" w14:textId="77777777" w:rsidR="00856E5A" w:rsidRPr="00856E5A" w:rsidRDefault="00806F9D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t>-  f</w:t>
      </w:r>
      <w:r w:rsidR="00856E5A" w:rsidRPr="00856E5A">
        <w:rPr>
          <w:iCs/>
          <w:lang w:eastAsia="cs-CZ"/>
        </w:rPr>
        <w:t>inančná situácia  spoločnosti je veľmi priaznivá, čo potvrdila aj finančná analýza spoločnosti.</w:t>
      </w:r>
    </w:p>
    <w:p w14:paraId="32930BCA" w14:textId="77777777" w:rsidR="00856E5A" w:rsidRPr="00856E5A" w:rsidRDefault="00856E5A" w:rsidP="00856E5A">
      <w:pPr>
        <w:jc w:val="both"/>
        <w:rPr>
          <w:iCs/>
          <w:lang w:eastAsia="cs-CZ"/>
        </w:rPr>
      </w:pPr>
    </w:p>
    <w:p w14:paraId="4E381933" w14:textId="77777777" w:rsidR="00D11F73" w:rsidRPr="00B83E8D" w:rsidRDefault="00D11F73" w:rsidP="00B65781">
      <w:pPr>
        <w:spacing w:line="360" w:lineRule="auto"/>
        <w:rPr>
          <w:sz w:val="20"/>
          <w:szCs w:val="20"/>
        </w:rPr>
      </w:pPr>
      <w:r w:rsidRPr="00B83E8D">
        <w:rPr>
          <w:iCs/>
          <w:lang w:eastAsia="cs-CZ"/>
        </w:rPr>
        <w:fldChar w:fldCharType="begin"/>
      </w:r>
      <w:r w:rsidRPr="00B83E8D">
        <w:rPr>
          <w:iCs/>
          <w:lang w:eastAsia="cs-CZ"/>
        </w:rPr>
        <w:instrText xml:space="preserve"> LINK Excel.Sheet.8 "C:\\Users\\LJ\\Desktop\\MESTO 2019\\FAP_STANDARD_08 AREA 2018.xls" "FA!R73C3:R77C10" \a \f 5 \h  \* MERGEFORMAT </w:instrText>
      </w:r>
      <w:r w:rsidRPr="00B83E8D">
        <w:rPr>
          <w:iCs/>
          <w:lang w:eastAsia="cs-CZ"/>
        </w:rPr>
        <w:fldChar w:fldCharType="separate"/>
      </w:r>
    </w:p>
    <w:p w14:paraId="592BAB0B" w14:textId="77777777" w:rsidR="00856E5A" w:rsidRDefault="00D11F73" w:rsidP="00E71485">
      <w:pPr>
        <w:spacing w:line="360" w:lineRule="auto"/>
        <w:rPr>
          <w:iCs/>
          <w:lang w:eastAsia="cs-CZ"/>
        </w:rPr>
      </w:pPr>
      <w:r w:rsidRPr="00B83E8D">
        <w:rPr>
          <w:iCs/>
          <w:lang w:eastAsia="cs-CZ"/>
        </w:rPr>
        <w:fldChar w:fldCharType="end"/>
      </w:r>
      <w:r w:rsidR="00CD5083" w:rsidRPr="00CD5083">
        <w:rPr>
          <w:iCs/>
          <w:lang w:eastAsia="cs-CZ"/>
        </w:rPr>
        <w:t xml:space="preserve"> </w:t>
      </w:r>
      <w:r w:rsidR="00CD5083" w:rsidRPr="00CD5083">
        <w:rPr>
          <w:noProof/>
        </w:rPr>
        <w:drawing>
          <wp:inline distT="0" distB="0" distL="0" distR="0" wp14:anchorId="07306178" wp14:editId="6617EFE4">
            <wp:extent cx="5760720" cy="2274570"/>
            <wp:effectExtent l="0" t="0" r="0" b="0"/>
            <wp:docPr id="153214765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DA5F3" w14:textId="77777777" w:rsidR="00C31BC1" w:rsidRDefault="00CD5083" w:rsidP="00856E5A">
      <w:pPr>
        <w:spacing w:line="360" w:lineRule="auto"/>
        <w:jc w:val="both"/>
        <w:rPr>
          <w:iCs/>
          <w:lang w:eastAsia="cs-CZ"/>
        </w:rPr>
      </w:pPr>
      <w:r w:rsidRPr="00CD5083">
        <w:rPr>
          <w:noProof/>
        </w:rPr>
        <w:drawing>
          <wp:inline distT="0" distB="0" distL="0" distR="0" wp14:anchorId="3F5AD99E" wp14:editId="1B5B496F">
            <wp:extent cx="5760720" cy="2261235"/>
            <wp:effectExtent l="0" t="0" r="0" b="5715"/>
            <wp:docPr id="32791882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6"/>
        <w:gridCol w:w="1598"/>
        <w:gridCol w:w="201"/>
        <w:gridCol w:w="202"/>
        <w:gridCol w:w="1365"/>
        <w:gridCol w:w="1365"/>
        <w:gridCol w:w="1196"/>
        <w:gridCol w:w="1196"/>
        <w:gridCol w:w="1196"/>
        <w:gridCol w:w="1196"/>
      </w:tblGrid>
      <w:tr w:rsidR="00CD5083" w14:paraId="683A82DD" w14:textId="77777777" w:rsidTr="00CD5083">
        <w:trPr>
          <w:trHeight w:val="315"/>
        </w:trPr>
        <w:tc>
          <w:tcPr>
            <w:tcW w:w="480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nil"/>
            </w:tcBorders>
            <w:shd w:val="clear" w:color="000000" w:fill="F2EFDE"/>
            <w:noWrap/>
            <w:hideMark/>
          </w:tcPr>
          <w:p w14:paraId="6CE45D20" w14:textId="77777777" w:rsidR="00CD5083" w:rsidRDefault="00CD5083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Pravdepodobnosť defaultu odberateľa:</w:t>
            </w:r>
          </w:p>
        </w:tc>
        <w:tc>
          <w:tcPr>
            <w:tcW w:w="1365" w:type="dxa"/>
            <w:tcBorders>
              <w:top w:val="single" w:sz="4" w:space="0" w:color="C0C0C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EFDE"/>
            <w:noWrap/>
            <w:hideMark/>
          </w:tcPr>
          <w:p w14:paraId="0FD58C97" w14:textId="77777777" w:rsidR="00CD5083" w:rsidRDefault="00CD50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0-0,3%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F28FE" w14:textId="77777777" w:rsidR="00CD5083" w:rsidRDefault="00CD50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544B3A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D6B754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43E165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84EE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5083" w14:paraId="049CD277" w14:textId="77777777" w:rsidTr="00CD5083">
        <w:trPr>
          <w:trHeight w:val="135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B4169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92CEA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E9B2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2E1F97" w14:textId="77777777" w:rsidR="00CD5083" w:rsidRDefault="00CD50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BA18" w14:textId="77777777" w:rsidR="00CD5083" w:rsidRDefault="00CD50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B62D8C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FE0D08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6B616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C45417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D7FD" w14:textId="77777777" w:rsidR="00CD5083" w:rsidRDefault="00CD50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5083" w14:paraId="1BCA3588" w14:textId="77777777" w:rsidTr="00CD5083">
        <w:trPr>
          <w:trHeight w:val="300"/>
        </w:trPr>
        <w:tc>
          <w:tcPr>
            <w:tcW w:w="280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nil"/>
            </w:tcBorders>
            <w:shd w:val="clear" w:color="000000" w:fill="F2EFDE"/>
            <w:noWrap/>
            <w:hideMark/>
          </w:tcPr>
          <w:p w14:paraId="0F42D2A2" w14:textId="77777777" w:rsidR="00CD5083" w:rsidRDefault="00CD5083">
            <w:pPr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Popis:</w:t>
            </w:r>
          </w:p>
        </w:tc>
        <w:tc>
          <w:tcPr>
            <w:tcW w:w="4731" w:type="dxa"/>
            <w:gridSpan w:val="5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000000" w:fill="F2EFDE"/>
            <w:noWrap/>
            <w:hideMark/>
          </w:tcPr>
          <w:p w14:paraId="11975B8F" w14:textId="77777777" w:rsidR="00CD5083" w:rsidRDefault="00CD50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Veľmi bonitná firma s nízkym stupňom rizika.</w:t>
            </w:r>
          </w:p>
        </w:tc>
        <w:tc>
          <w:tcPr>
            <w:tcW w:w="119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000000" w:fill="F2EFDE"/>
            <w:noWrap/>
            <w:hideMark/>
          </w:tcPr>
          <w:p w14:paraId="76A03418" w14:textId="77777777" w:rsidR="00CD5083" w:rsidRDefault="00CD5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000000" w:fill="F2EFDE"/>
            <w:noWrap/>
            <w:hideMark/>
          </w:tcPr>
          <w:p w14:paraId="7AFB70EE" w14:textId="77777777" w:rsidR="00CD5083" w:rsidRDefault="00CD5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000000" w:fill="F2EFDE"/>
            <w:noWrap/>
            <w:hideMark/>
          </w:tcPr>
          <w:p w14:paraId="1B28502D" w14:textId="77777777" w:rsidR="00CD5083" w:rsidRDefault="00CD5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C0C0C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EFDE"/>
            <w:noWrap/>
            <w:hideMark/>
          </w:tcPr>
          <w:p w14:paraId="74988F9B" w14:textId="77777777" w:rsidR="00CD5083" w:rsidRDefault="00CD5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7745E93" w14:textId="77777777" w:rsidR="00C31BC1" w:rsidRPr="00856E5A" w:rsidRDefault="00C31BC1" w:rsidP="00856E5A">
      <w:pPr>
        <w:spacing w:line="360" w:lineRule="auto"/>
        <w:jc w:val="both"/>
        <w:rPr>
          <w:iCs/>
          <w:lang w:eastAsia="cs-CZ"/>
        </w:rPr>
      </w:pPr>
    </w:p>
    <w:p w14:paraId="065D01C7" w14:textId="77777777" w:rsidR="00171608" w:rsidRDefault="00171608" w:rsidP="00856E5A">
      <w:pPr>
        <w:jc w:val="both"/>
        <w:rPr>
          <w:b/>
          <w:iCs/>
          <w:lang w:eastAsia="cs-CZ"/>
        </w:rPr>
      </w:pPr>
    </w:p>
    <w:p w14:paraId="3919D0A3" w14:textId="77777777" w:rsidR="00171608" w:rsidRPr="00421A2E" w:rsidRDefault="00171608" w:rsidP="00171608">
      <w:pPr>
        <w:spacing w:line="360" w:lineRule="auto"/>
        <w:jc w:val="both"/>
        <w:rPr>
          <w:b/>
          <w:iCs/>
          <w:lang w:eastAsia="cs-CZ"/>
        </w:rPr>
      </w:pPr>
      <w:r w:rsidRPr="00421A2E">
        <w:rPr>
          <w:b/>
          <w:iCs/>
          <w:lang w:eastAsia="cs-CZ"/>
        </w:rPr>
        <w:t>/Správa č.20</w:t>
      </w:r>
      <w:r w:rsidR="00873032">
        <w:rPr>
          <w:b/>
          <w:iCs/>
          <w:lang w:eastAsia="cs-CZ"/>
        </w:rPr>
        <w:t>22</w:t>
      </w:r>
      <w:r>
        <w:rPr>
          <w:b/>
          <w:iCs/>
          <w:lang w:eastAsia="cs-CZ"/>
        </w:rPr>
        <w:t>/MPBH</w:t>
      </w:r>
      <w:r w:rsidRPr="00421A2E">
        <w:rPr>
          <w:b/>
          <w:iCs/>
          <w:lang w:eastAsia="cs-CZ"/>
        </w:rPr>
        <w:t xml:space="preserve"> o kontrole účtovnej závierky </w:t>
      </w:r>
      <w:r>
        <w:rPr>
          <w:b/>
          <w:iCs/>
          <w:lang w:eastAsia="cs-CZ"/>
        </w:rPr>
        <w:t xml:space="preserve"> </w:t>
      </w:r>
      <w:bookmarkStart w:id="1" w:name="_Hlk144325184"/>
      <w:r>
        <w:rPr>
          <w:b/>
          <w:iCs/>
          <w:lang w:eastAsia="cs-CZ"/>
        </w:rPr>
        <w:t>MPBH</w:t>
      </w:r>
      <w:r w:rsidRPr="00421A2E">
        <w:rPr>
          <w:b/>
          <w:iCs/>
          <w:lang w:eastAsia="cs-CZ"/>
        </w:rPr>
        <w:t xml:space="preserve"> ŠAMORÍN s.r.o.</w:t>
      </w:r>
      <w:bookmarkEnd w:id="1"/>
      <w:r w:rsidRPr="00421A2E">
        <w:rPr>
          <w:b/>
          <w:iCs/>
          <w:lang w:eastAsia="cs-CZ"/>
        </w:rPr>
        <w:t xml:space="preserve"> za rok 20</w:t>
      </w:r>
      <w:r w:rsidR="00873032">
        <w:rPr>
          <w:b/>
          <w:iCs/>
          <w:lang w:eastAsia="cs-CZ"/>
        </w:rPr>
        <w:t>21</w:t>
      </w:r>
      <w:r w:rsidRPr="00421A2E">
        <w:rPr>
          <w:b/>
          <w:iCs/>
          <w:lang w:eastAsia="cs-CZ"/>
        </w:rPr>
        <w:t>/</w:t>
      </w:r>
    </w:p>
    <w:p w14:paraId="2E65D089" w14:textId="77777777" w:rsidR="00171608" w:rsidRDefault="00171608" w:rsidP="00171608">
      <w:pPr>
        <w:jc w:val="both"/>
        <w:rPr>
          <w:iCs/>
          <w:lang w:eastAsia="cs-CZ"/>
        </w:rPr>
      </w:pPr>
      <w:r>
        <w:rPr>
          <w:b/>
          <w:iCs/>
          <w:lang w:eastAsia="cs-CZ"/>
        </w:rPr>
        <w:t xml:space="preserve">Kontrolou bolo zistené, že  MPBH </w:t>
      </w:r>
      <w:r w:rsidRPr="00856E5A">
        <w:rPr>
          <w:b/>
          <w:iCs/>
          <w:lang w:eastAsia="cs-CZ"/>
        </w:rPr>
        <w:t>ŠAMORÍN s.r.o.</w:t>
      </w:r>
      <w:r>
        <w:rPr>
          <w:iCs/>
          <w:lang w:eastAsia="cs-CZ"/>
        </w:rPr>
        <w:t>:</w:t>
      </w:r>
    </w:p>
    <w:p w14:paraId="12FDF103" w14:textId="77777777" w:rsidR="00A6210C" w:rsidRPr="00A6210C" w:rsidRDefault="00A6210C" w:rsidP="00A6210C">
      <w:pPr>
        <w:jc w:val="both"/>
        <w:rPr>
          <w:iCs/>
          <w:lang w:eastAsia="cs-CZ"/>
        </w:rPr>
      </w:pPr>
      <w:r w:rsidRPr="00A6210C">
        <w:rPr>
          <w:iCs/>
          <w:lang w:eastAsia="cs-CZ"/>
        </w:rPr>
        <w:t>1.</w:t>
      </w:r>
      <w:r w:rsidRPr="00A6210C">
        <w:rPr>
          <w:iCs/>
          <w:lang w:eastAsia="cs-CZ"/>
        </w:rPr>
        <w:tab/>
        <w:t>Účtovanie správy  mestských bytov</w:t>
      </w:r>
      <w:r>
        <w:rPr>
          <w:iCs/>
          <w:lang w:eastAsia="cs-CZ"/>
        </w:rPr>
        <w:t xml:space="preserve"> </w:t>
      </w:r>
      <w:r w:rsidRPr="00A6210C">
        <w:rPr>
          <w:iCs/>
          <w:lang w:eastAsia="cs-CZ"/>
        </w:rPr>
        <w:t xml:space="preserve">je potrebné zosúladiť s účtovaním správy pre iné subjekty. K tomuto je nevyhnutné zriadiť osobitný bankový účet vo vlastníctve mesta Šamorín v správe spoločnosti. </w:t>
      </w:r>
    </w:p>
    <w:p w14:paraId="3313C061" w14:textId="77777777" w:rsidR="00A6210C" w:rsidRPr="00A6210C" w:rsidRDefault="00A6210C" w:rsidP="00A6210C">
      <w:pPr>
        <w:jc w:val="both"/>
        <w:rPr>
          <w:iCs/>
          <w:lang w:eastAsia="cs-CZ"/>
        </w:rPr>
      </w:pPr>
      <w:r w:rsidRPr="00A6210C">
        <w:rPr>
          <w:iCs/>
          <w:lang w:eastAsia="cs-CZ"/>
        </w:rPr>
        <w:lastRenderedPageBreak/>
        <w:t>2.</w:t>
      </w:r>
      <w:r w:rsidRPr="00A6210C">
        <w:rPr>
          <w:iCs/>
          <w:lang w:eastAsia="cs-CZ"/>
        </w:rPr>
        <w:tab/>
        <w:t>Účet 315 200 – Pohľadávky -predané byty viesť ako účet saldokontný, aby sa vyhlo ťažkostiam pri inventarizácii a preukázateľnosti zostatkov.</w:t>
      </w:r>
    </w:p>
    <w:p w14:paraId="17C81D3C" w14:textId="77777777" w:rsidR="00A6210C" w:rsidRPr="00A6210C" w:rsidRDefault="00A6210C" w:rsidP="00A6210C">
      <w:pPr>
        <w:jc w:val="both"/>
        <w:rPr>
          <w:iCs/>
          <w:lang w:eastAsia="cs-CZ"/>
        </w:rPr>
      </w:pPr>
      <w:r w:rsidRPr="00A6210C">
        <w:rPr>
          <w:iCs/>
          <w:lang w:eastAsia="cs-CZ"/>
        </w:rPr>
        <w:t>3.</w:t>
      </w:r>
      <w:r w:rsidRPr="00A6210C">
        <w:rPr>
          <w:iCs/>
          <w:lang w:eastAsia="cs-CZ"/>
        </w:rPr>
        <w:tab/>
        <w:t xml:space="preserve"> Účtovanie na účtoch 311 príslušná AE je potrebné zosúladiť s analytickou evidenciou jednotlivých podsystémov správy. Mám na mysli zaúčtovanie predpísaných  zálohových platieb v účtovnom období, kedy je povinnosť tieto platby realizovať. </w:t>
      </w:r>
    </w:p>
    <w:p w14:paraId="73165206" w14:textId="77777777" w:rsidR="00A6210C" w:rsidRPr="00A6210C" w:rsidRDefault="00A6210C" w:rsidP="00A6210C">
      <w:pPr>
        <w:jc w:val="both"/>
        <w:rPr>
          <w:iCs/>
          <w:lang w:eastAsia="cs-CZ"/>
        </w:rPr>
      </w:pPr>
      <w:r w:rsidRPr="00A6210C">
        <w:rPr>
          <w:iCs/>
          <w:lang w:eastAsia="cs-CZ"/>
        </w:rPr>
        <w:t>Na preukázateľnosť zostatkov účtov 311AE k 31.12. je potrebné konzultovať s programátorom účtovného systému a jednotlivých podsystémov problematiku platieb v nasledujúcom roku za predchádzajúci rok /nedoplatkov/, aby systém vedel identifikovať a zosumarizovať tieto platby, ktoré ku koncu účtovného obdobia pôsobia nesúlad medzi účtovným zostatkom a zostatkom podľa jednotlivých podsystémov.</w:t>
      </w:r>
    </w:p>
    <w:p w14:paraId="3A55981B" w14:textId="77777777" w:rsidR="00A6210C" w:rsidRPr="00A6210C" w:rsidRDefault="00A6210C" w:rsidP="00A6210C">
      <w:pPr>
        <w:jc w:val="both"/>
        <w:rPr>
          <w:iCs/>
          <w:lang w:eastAsia="cs-CZ"/>
        </w:rPr>
      </w:pPr>
      <w:r w:rsidRPr="00A6210C">
        <w:rPr>
          <w:iCs/>
          <w:lang w:eastAsia="cs-CZ"/>
        </w:rPr>
        <w:t>4.</w:t>
      </w:r>
      <w:r w:rsidRPr="00A6210C">
        <w:rPr>
          <w:iCs/>
          <w:lang w:eastAsia="cs-CZ"/>
        </w:rPr>
        <w:tab/>
        <w:t>Na účte 324 – Prijaté preddavky treba vykázať predpísané zálohy vrátane DPH, zaúčtovaním DPH na účty 315AE/324AE.</w:t>
      </w:r>
    </w:p>
    <w:p w14:paraId="00B91B41" w14:textId="77777777" w:rsidR="00A6210C" w:rsidRPr="00A6210C" w:rsidRDefault="00A6210C" w:rsidP="00A6210C">
      <w:pPr>
        <w:jc w:val="both"/>
        <w:rPr>
          <w:iCs/>
          <w:lang w:eastAsia="cs-CZ"/>
        </w:rPr>
      </w:pPr>
      <w:r w:rsidRPr="00A6210C">
        <w:rPr>
          <w:iCs/>
          <w:lang w:eastAsia="cs-CZ"/>
        </w:rPr>
        <w:t>5.</w:t>
      </w:r>
      <w:r w:rsidRPr="00A6210C">
        <w:rPr>
          <w:iCs/>
          <w:lang w:eastAsia="cs-CZ"/>
        </w:rPr>
        <w:tab/>
        <w:t>Začiatkom roka zostatky účtov 315 – Náklady resp. výdavky na vyúčtovanie za predchádzajúci rok preúčtovať na osobitný analytický účet, takisto to platí na predpísané preddavky na účte 324AE.</w:t>
      </w:r>
    </w:p>
    <w:p w14:paraId="58573F1D" w14:textId="77777777" w:rsidR="00A6210C" w:rsidRPr="00A6210C" w:rsidRDefault="00A6210C" w:rsidP="00A6210C">
      <w:pPr>
        <w:jc w:val="both"/>
        <w:rPr>
          <w:iCs/>
          <w:lang w:eastAsia="cs-CZ"/>
        </w:rPr>
      </w:pPr>
      <w:r w:rsidRPr="00A6210C">
        <w:rPr>
          <w:iCs/>
          <w:lang w:eastAsia="cs-CZ"/>
        </w:rPr>
        <w:t>6.</w:t>
      </w:r>
      <w:r w:rsidRPr="00A6210C">
        <w:rPr>
          <w:iCs/>
          <w:lang w:eastAsia="cs-CZ"/>
        </w:rPr>
        <w:tab/>
        <w:t>Na mesačnej báze počas účtovného obdobia overovať zostatky pohľadávkových účtov na evidenciu, ktorú vedie správkyňa – evidencia nájomníkov a vlastníkov bytov.</w:t>
      </w:r>
    </w:p>
    <w:p w14:paraId="261D25B6" w14:textId="77777777" w:rsidR="00A6210C" w:rsidRPr="00A6210C" w:rsidRDefault="00A6210C" w:rsidP="00A6210C">
      <w:pPr>
        <w:jc w:val="both"/>
        <w:rPr>
          <w:iCs/>
          <w:lang w:eastAsia="cs-CZ"/>
        </w:rPr>
      </w:pPr>
      <w:r w:rsidRPr="00A6210C">
        <w:rPr>
          <w:iCs/>
          <w:lang w:eastAsia="cs-CZ"/>
        </w:rPr>
        <w:t>7.</w:t>
      </w:r>
      <w:r w:rsidRPr="00A6210C">
        <w:rPr>
          <w:iCs/>
          <w:lang w:eastAsia="cs-CZ"/>
        </w:rPr>
        <w:tab/>
        <w:t>K 31.12. bežného účtovného obdobia vykonať inventarizáciu majetku a záväzkov, a rozdielu majetku a záväzkov a vyhotoviť inventúrne súpisy a zápis o priebehu a výsledkoch inventarizácie. Inventúrne súpisy a zápisy majú byť podpísané členmi inventarizačnej komisie a výsledky inventarizácie schválené štatutárnym orgánom spoločnosti.</w:t>
      </w:r>
    </w:p>
    <w:p w14:paraId="473C84D1" w14:textId="77777777" w:rsidR="00A6210C" w:rsidRDefault="00A6210C" w:rsidP="00A6210C">
      <w:pPr>
        <w:jc w:val="both"/>
        <w:rPr>
          <w:iCs/>
          <w:lang w:eastAsia="cs-CZ"/>
        </w:rPr>
      </w:pPr>
      <w:r w:rsidRPr="00A6210C">
        <w:rPr>
          <w:iCs/>
          <w:lang w:eastAsia="cs-CZ"/>
        </w:rPr>
        <w:t>8.</w:t>
      </w:r>
      <w:r w:rsidRPr="00A6210C">
        <w:rPr>
          <w:iCs/>
          <w:lang w:eastAsia="cs-CZ"/>
        </w:rPr>
        <w:tab/>
        <w:t>Na vedenie účtovníctva spoločnosti by mala byť vypracovaná interná smernica, ktorá bližšie špecifikuje postupy účtovania spoločnosti ako aj obeh účtovných dokladov.</w:t>
      </w:r>
    </w:p>
    <w:p w14:paraId="77C02DA0" w14:textId="77777777" w:rsidR="00DC72B4" w:rsidRDefault="00DC72B4" w:rsidP="00A6210C">
      <w:pPr>
        <w:jc w:val="both"/>
        <w:rPr>
          <w:iCs/>
          <w:lang w:eastAsia="cs-CZ"/>
        </w:rPr>
      </w:pPr>
    </w:p>
    <w:p w14:paraId="22A33BF4" w14:textId="77777777" w:rsidR="00171608" w:rsidRDefault="00171608" w:rsidP="00171608">
      <w:pPr>
        <w:jc w:val="both"/>
        <w:rPr>
          <w:iCs/>
          <w:lang w:eastAsia="cs-CZ"/>
        </w:rPr>
      </w:pPr>
      <w:r>
        <w:rPr>
          <w:iCs/>
          <w:lang w:eastAsia="cs-CZ"/>
        </w:rPr>
        <w:t>-</w:t>
      </w:r>
      <w:r w:rsidRPr="00806F9D">
        <w:rPr>
          <w:iCs/>
          <w:lang w:eastAsia="cs-CZ"/>
        </w:rPr>
        <w:t xml:space="preserve"> finančné a účtovné operácie sú zúčtované na základe overených dokladov príslušnými pracovníkmi zodpovednými za ich kontrolu, schválenie a zaúčtovanie a spĺňajú všetky podmien</w:t>
      </w:r>
      <w:r>
        <w:rPr>
          <w:iCs/>
          <w:lang w:eastAsia="cs-CZ"/>
        </w:rPr>
        <w:t>k</w:t>
      </w:r>
      <w:r w:rsidR="009167CC">
        <w:rPr>
          <w:iCs/>
          <w:lang w:eastAsia="cs-CZ"/>
        </w:rPr>
        <w:t>y par. 10 Zákona o účtovníctve,</w:t>
      </w:r>
    </w:p>
    <w:p w14:paraId="6B3FB79C" w14:textId="77777777" w:rsidR="00DC72B4" w:rsidRDefault="00DC72B4" w:rsidP="00171608">
      <w:pPr>
        <w:jc w:val="both"/>
        <w:rPr>
          <w:iCs/>
          <w:lang w:eastAsia="cs-CZ"/>
        </w:rPr>
      </w:pPr>
    </w:p>
    <w:p w14:paraId="0673CFD1" w14:textId="77777777" w:rsidR="00171608" w:rsidRDefault="00171608" w:rsidP="00171608">
      <w:pPr>
        <w:jc w:val="both"/>
        <w:rPr>
          <w:iCs/>
          <w:lang w:eastAsia="cs-CZ"/>
        </w:rPr>
      </w:pPr>
      <w:r>
        <w:rPr>
          <w:iCs/>
          <w:lang w:eastAsia="cs-CZ"/>
        </w:rPr>
        <w:t>- za rok 20</w:t>
      </w:r>
      <w:r w:rsidR="00482DF9">
        <w:rPr>
          <w:iCs/>
          <w:lang w:eastAsia="cs-CZ"/>
        </w:rPr>
        <w:t>21</w:t>
      </w:r>
      <w:r w:rsidRPr="00856E5A">
        <w:rPr>
          <w:iCs/>
          <w:lang w:eastAsia="cs-CZ"/>
        </w:rPr>
        <w:t xml:space="preserve"> bol dosiahnutý hos</w:t>
      </w:r>
      <w:r w:rsidR="00B30584">
        <w:rPr>
          <w:iCs/>
          <w:lang w:eastAsia="cs-CZ"/>
        </w:rPr>
        <w:t xml:space="preserve">podársky výsledok – zisk </w:t>
      </w:r>
      <w:r w:rsidR="00DC72B4">
        <w:rPr>
          <w:iCs/>
          <w:lang w:eastAsia="cs-CZ"/>
        </w:rPr>
        <w:t>155 823</w:t>
      </w:r>
      <w:r w:rsidRPr="00856E5A">
        <w:rPr>
          <w:iCs/>
          <w:lang w:eastAsia="cs-CZ"/>
        </w:rPr>
        <w:t>,- EUR. Účtovn</w:t>
      </w:r>
      <w:r>
        <w:rPr>
          <w:iCs/>
          <w:lang w:eastAsia="cs-CZ"/>
        </w:rPr>
        <w:t xml:space="preserve">á závierka spoločnosti bola </w:t>
      </w:r>
      <w:r w:rsidRPr="00856E5A">
        <w:rPr>
          <w:iCs/>
          <w:lang w:eastAsia="cs-CZ"/>
        </w:rPr>
        <w:t>vypracovaná v súlade so zákonom o účtovn</w:t>
      </w:r>
      <w:r>
        <w:rPr>
          <w:iCs/>
          <w:lang w:eastAsia="cs-CZ"/>
        </w:rPr>
        <w:t xml:space="preserve">íctve. </w:t>
      </w:r>
    </w:p>
    <w:p w14:paraId="23F82705" w14:textId="77777777" w:rsidR="00171608" w:rsidRPr="00856E5A" w:rsidRDefault="00171608" w:rsidP="00171608">
      <w:pPr>
        <w:jc w:val="both"/>
        <w:rPr>
          <w:iCs/>
          <w:lang w:eastAsia="cs-CZ"/>
        </w:rPr>
      </w:pPr>
    </w:p>
    <w:p w14:paraId="01FDB719" w14:textId="77777777" w:rsidR="00171608" w:rsidRDefault="00171608" w:rsidP="00856E5A">
      <w:pPr>
        <w:jc w:val="both"/>
        <w:rPr>
          <w:b/>
          <w:iCs/>
          <w:lang w:eastAsia="cs-CZ"/>
        </w:rPr>
      </w:pPr>
    </w:p>
    <w:p w14:paraId="7D65EA1C" w14:textId="77777777" w:rsidR="00B30584" w:rsidRPr="00856E5A" w:rsidRDefault="00126F3B" w:rsidP="00B30584">
      <w:pPr>
        <w:jc w:val="both"/>
        <w:rPr>
          <w:sz w:val="20"/>
          <w:szCs w:val="20"/>
          <w:lang w:eastAsia="cs-CZ"/>
        </w:rPr>
      </w:pPr>
      <w:r w:rsidRPr="00126F3B">
        <w:rPr>
          <w:noProof/>
        </w:rPr>
        <w:drawing>
          <wp:inline distT="0" distB="0" distL="0" distR="0" wp14:anchorId="181CE24C" wp14:editId="27222F37">
            <wp:extent cx="5760720" cy="2274570"/>
            <wp:effectExtent l="0" t="0" r="0" b="0"/>
            <wp:docPr id="10553838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31E92" w14:textId="77777777" w:rsidR="00B30584" w:rsidRDefault="00B30584" w:rsidP="00856E5A">
      <w:pPr>
        <w:jc w:val="both"/>
        <w:rPr>
          <w:lang w:eastAsia="cs-CZ"/>
        </w:rPr>
      </w:pPr>
    </w:p>
    <w:p w14:paraId="4348B542" w14:textId="77777777" w:rsidR="00E9021F" w:rsidRDefault="00126F3B" w:rsidP="00856E5A">
      <w:pPr>
        <w:jc w:val="both"/>
        <w:rPr>
          <w:lang w:eastAsia="cs-CZ"/>
        </w:rPr>
      </w:pPr>
      <w:r>
        <w:rPr>
          <w:lang w:eastAsia="cs-CZ"/>
        </w:rPr>
        <w:t>V roku 2021 došlo k výraznému zlepšeniu hospodárenia spoločnosti, čo preukazuje aj finančná analýza podniku.</w:t>
      </w:r>
      <w:r w:rsidR="00911517">
        <w:rPr>
          <w:lang w:eastAsia="cs-CZ"/>
        </w:rPr>
        <w:t xml:space="preserve"> </w:t>
      </w:r>
    </w:p>
    <w:p w14:paraId="575E863B" w14:textId="77777777" w:rsidR="00911517" w:rsidRDefault="00911517" w:rsidP="00856E5A">
      <w:pPr>
        <w:jc w:val="both"/>
        <w:rPr>
          <w:lang w:eastAsia="cs-CZ"/>
        </w:rPr>
      </w:pPr>
    </w:p>
    <w:p w14:paraId="60507CCB" w14:textId="77777777" w:rsidR="00911517" w:rsidRPr="004E567C" w:rsidRDefault="00911517" w:rsidP="00856E5A">
      <w:pPr>
        <w:jc w:val="both"/>
        <w:rPr>
          <w:lang w:eastAsia="cs-CZ"/>
        </w:rPr>
      </w:pPr>
      <w:r w:rsidRPr="00911517">
        <w:rPr>
          <w:noProof/>
        </w:rPr>
        <w:lastRenderedPageBreak/>
        <w:drawing>
          <wp:inline distT="0" distB="0" distL="0" distR="0" wp14:anchorId="657A0DE5" wp14:editId="1673FDE2">
            <wp:extent cx="5760720" cy="2320925"/>
            <wp:effectExtent l="0" t="0" r="0" b="3175"/>
            <wp:docPr id="771732520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05F27" w14:textId="77777777" w:rsidR="00856E5A" w:rsidRPr="00856E5A" w:rsidRDefault="00856E5A" w:rsidP="00856E5A">
      <w:pPr>
        <w:jc w:val="both"/>
        <w:rPr>
          <w:iCs/>
          <w:lang w:eastAsia="cs-CZ"/>
        </w:rPr>
      </w:pPr>
    </w:p>
    <w:p w14:paraId="76DF01C1" w14:textId="77777777" w:rsidR="00856E5A" w:rsidRDefault="00856E5A" w:rsidP="00856E5A">
      <w:pPr>
        <w:jc w:val="both"/>
        <w:rPr>
          <w:iCs/>
          <w:lang w:eastAsia="cs-CZ"/>
        </w:rPr>
      </w:pPr>
    </w:p>
    <w:p w14:paraId="645337DB" w14:textId="77777777" w:rsidR="00DA0EAF" w:rsidRDefault="00DA0EAF" w:rsidP="00856E5A">
      <w:pPr>
        <w:jc w:val="both"/>
        <w:rPr>
          <w:iCs/>
          <w:lang w:eastAsia="cs-CZ"/>
        </w:rPr>
      </w:pPr>
    </w:p>
    <w:p w14:paraId="6792B861" w14:textId="77777777" w:rsidR="00856E5A" w:rsidRPr="00856E5A" w:rsidRDefault="009B6C4B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t xml:space="preserve">  </w:t>
      </w:r>
    </w:p>
    <w:tbl>
      <w:tblPr>
        <w:tblStyle w:val="Obyajntabuka3"/>
        <w:tblW w:w="0" w:type="auto"/>
        <w:tblLook w:val="04A0" w:firstRow="1" w:lastRow="0" w:firstColumn="1" w:lastColumn="0" w:noHBand="0" w:noVBand="1"/>
      </w:tblPr>
      <w:tblGrid>
        <w:gridCol w:w="2724"/>
        <w:gridCol w:w="1309"/>
        <w:gridCol w:w="982"/>
        <w:gridCol w:w="982"/>
        <w:gridCol w:w="1111"/>
        <w:gridCol w:w="982"/>
        <w:gridCol w:w="982"/>
      </w:tblGrid>
      <w:tr w:rsidR="00911517" w:rsidRPr="00911517" w14:paraId="434EC1CC" w14:textId="77777777" w:rsidTr="00911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4" w:type="dxa"/>
          </w:tcPr>
          <w:p w14:paraId="02B849B1" w14:textId="77777777" w:rsidR="00911517" w:rsidRPr="00911517" w:rsidRDefault="00911517" w:rsidP="006B7246">
            <w:pPr>
              <w:spacing w:line="360" w:lineRule="auto"/>
              <w:jc w:val="both"/>
              <w:rPr>
                <w:b w:val="0"/>
                <w:lang w:eastAsia="cs-CZ"/>
              </w:rPr>
            </w:pPr>
            <w:r w:rsidRPr="00911517">
              <w:rPr>
                <w:lang w:eastAsia="cs-CZ"/>
              </w:rPr>
              <w:t>Pravdepodobnosť defaultu odberateľa:</w:t>
            </w:r>
          </w:p>
        </w:tc>
        <w:tc>
          <w:tcPr>
            <w:tcW w:w="1294" w:type="dxa"/>
          </w:tcPr>
          <w:p w14:paraId="72EFC6B7" w14:textId="77777777" w:rsidR="00911517" w:rsidRPr="00911517" w:rsidRDefault="00911517" w:rsidP="006B7246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cs-CZ"/>
              </w:rPr>
            </w:pPr>
          </w:p>
        </w:tc>
        <w:tc>
          <w:tcPr>
            <w:tcW w:w="1294" w:type="dxa"/>
          </w:tcPr>
          <w:p w14:paraId="73A75C41" w14:textId="77777777" w:rsidR="00911517" w:rsidRPr="00911517" w:rsidRDefault="00911517" w:rsidP="006B7246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cs-CZ"/>
              </w:rPr>
            </w:pPr>
          </w:p>
        </w:tc>
        <w:tc>
          <w:tcPr>
            <w:tcW w:w="1295" w:type="dxa"/>
          </w:tcPr>
          <w:p w14:paraId="768B319B" w14:textId="77777777" w:rsidR="00911517" w:rsidRPr="00911517" w:rsidRDefault="00911517" w:rsidP="006B7246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cs-CZ"/>
              </w:rPr>
            </w:pPr>
          </w:p>
        </w:tc>
        <w:tc>
          <w:tcPr>
            <w:tcW w:w="1295" w:type="dxa"/>
          </w:tcPr>
          <w:p w14:paraId="54FAFB39" w14:textId="77777777" w:rsidR="00911517" w:rsidRPr="00911517" w:rsidRDefault="00911517" w:rsidP="006B7246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cs-CZ"/>
              </w:rPr>
            </w:pPr>
            <w:r w:rsidRPr="00911517">
              <w:rPr>
                <w:lang w:eastAsia="cs-CZ"/>
              </w:rPr>
              <w:t>7%-10%</w:t>
            </w:r>
          </w:p>
        </w:tc>
        <w:tc>
          <w:tcPr>
            <w:tcW w:w="1295" w:type="dxa"/>
          </w:tcPr>
          <w:p w14:paraId="3B84938C" w14:textId="77777777" w:rsidR="00911517" w:rsidRPr="00911517" w:rsidRDefault="00911517" w:rsidP="006B7246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cs-CZ"/>
              </w:rPr>
            </w:pPr>
          </w:p>
        </w:tc>
        <w:tc>
          <w:tcPr>
            <w:tcW w:w="1295" w:type="dxa"/>
          </w:tcPr>
          <w:p w14:paraId="681D3387" w14:textId="77777777" w:rsidR="00911517" w:rsidRPr="00911517" w:rsidRDefault="00911517" w:rsidP="006B7246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cs-CZ"/>
              </w:rPr>
            </w:pPr>
          </w:p>
        </w:tc>
      </w:tr>
      <w:tr w:rsidR="00911517" w14:paraId="4D31B368" w14:textId="77777777" w:rsidTr="0091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3F6D7D56" w14:textId="77777777" w:rsidR="00911517" w:rsidRPr="00911517" w:rsidRDefault="00911517" w:rsidP="006B7246">
            <w:pPr>
              <w:spacing w:line="360" w:lineRule="auto"/>
              <w:jc w:val="both"/>
              <w:rPr>
                <w:b w:val="0"/>
                <w:lang w:eastAsia="cs-CZ"/>
              </w:rPr>
            </w:pPr>
            <w:r w:rsidRPr="00911517">
              <w:rPr>
                <w:lang w:eastAsia="cs-CZ"/>
              </w:rPr>
              <w:t>Popis:</w:t>
            </w:r>
          </w:p>
        </w:tc>
        <w:tc>
          <w:tcPr>
            <w:tcW w:w="1294" w:type="dxa"/>
          </w:tcPr>
          <w:p w14:paraId="666E17FE" w14:textId="77777777" w:rsidR="00911517" w:rsidRDefault="00911517" w:rsidP="006B72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cs-CZ"/>
              </w:rPr>
            </w:pPr>
            <w:r w:rsidRPr="00911517">
              <w:rPr>
                <w:b/>
                <w:lang w:eastAsia="cs-CZ"/>
              </w:rPr>
              <w:t>Priemerná firma</w:t>
            </w:r>
          </w:p>
        </w:tc>
        <w:tc>
          <w:tcPr>
            <w:tcW w:w="1294" w:type="dxa"/>
          </w:tcPr>
          <w:p w14:paraId="289B5D9E" w14:textId="77777777" w:rsidR="00911517" w:rsidRDefault="00911517" w:rsidP="006B72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cs-CZ"/>
              </w:rPr>
            </w:pPr>
          </w:p>
        </w:tc>
        <w:tc>
          <w:tcPr>
            <w:tcW w:w="1295" w:type="dxa"/>
          </w:tcPr>
          <w:p w14:paraId="6B6330EA" w14:textId="77777777" w:rsidR="00911517" w:rsidRDefault="00911517" w:rsidP="006B72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cs-CZ"/>
              </w:rPr>
            </w:pPr>
          </w:p>
        </w:tc>
        <w:tc>
          <w:tcPr>
            <w:tcW w:w="1295" w:type="dxa"/>
          </w:tcPr>
          <w:p w14:paraId="57587BE4" w14:textId="77777777" w:rsidR="00911517" w:rsidRDefault="00911517" w:rsidP="006B72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cs-CZ"/>
              </w:rPr>
            </w:pPr>
          </w:p>
        </w:tc>
        <w:tc>
          <w:tcPr>
            <w:tcW w:w="1295" w:type="dxa"/>
          </w:tcPr>
          <w:p w14:paraId="7895AF78" w14:textId="77777777" w:rsidR="00911517" w:rsidRDefault="00911517" w:rsidP="006B72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cs-CZ"/>
              </w:rPr>
            </w:pPr>
          </w:p>
        </w:tc>
        <w:tc>
          <w:tcPr>
            <w:tcW w:w="1295" w:type="dxa"/>
          </w:tcPr>
          <w:p w14:paraId="2179800A" w14:textId="77777777" w:rsidR="00911517" w:rsidRDefault="00911517" w:rsidP="006B72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cs-CZ"/>
              </w:rPr>
            </w:pPr>
          </w:p>
        </w:tc>
      </w:tr>
    </w:tbl>
    <w:p w14:paraId="06BC8A55" w14:textId="77777777" w:rsidR="00911517" w:rsidRDefault="00911517" w:rsidP="00856E5A">
      <w:pPr>
        <w:spacing w:line="360" w:lineRule="auto"/>
        <w:jc w:val="both"/>
        <w:rPr>
          <w:b/>
          <w:lang w:eastAsia="cs-CZ"/>
        </w:rPr>
      </w:pPr>
      <w:r w:rsidRPr="00911517">
        <w:rPr>
          <w:b/>
          <w:lang w:eastAsia="cs-CZ"/>
        </w:rPr>
        <w:tab/>
      </w:r>
      <w:r w:rsidRPr="00911517">
        <w:rPr>
          <w:b/>
          <w:lang w:eastAsia="cs-CZ"/>
        </w:rPr>
        <w:tab/>
      </w:r>
      <w:r w:rsidRPr="00911517">
        <w:rPr>
          <w:b/>
          <w:lang w:eastAsia="cs-CZ"/>
        </w:rPr>
        <w:tab/>
      </w:r>
    </w:p>
    <w:p w14:paraId="0A13816D" w14:textId="77777777" w:rsidR="00911517" w:rsidRDefault="00911517" w:rsidP="00856E5A">
      <w:pPr>
        <w:spacing w:line="360" w:lineRule="auto"/>
        <w:jc w:val="both"/>
        <w:rPr>
          <w:b/>
          <w:lang w:eastAsia="cs-CZ"/>
        </w:rPr>
      </w:pPr>
    </w:p>
    <w:p w14:paraId="2958DBF6" w14:textId="77777777" w:rsidR="00BB1347" w:rsidRDefault="00BB1347" w:rsidP="00856E5A">
      <w:pPr>
        <w:spacing w:line="360" w:lineRule="auto"/>
        <w:jc w:val="both"/>
        <w:rPr>
          <w:lang w:eastAsia="cs-CZ"/>
        </w:rPr>
      </w:pPr>
      <w:r>
        <w:rPr>
          <w:b/>
          <w:lang w:eastAsia="cs-CZ"/>
        </w:rPr>
        <w:t>V júni 20</w:t>
      </w:r>
      <w:r w:rsidR="00C82A2A">
        <w:rPr>
          <w:b/>
          <w:lang w:eastAsia="cs-CZ"/>
        </w:rPr>
        <w:t>22</w:t>
      </w:r>
      <w:r w:rsidR="00856E5A" w:rsidRPr="00856E5A">
        <w:rPr>
          <w:b/>
          <w:lang w:eastAsia="cs-CZ"/>
        </w:rPr>
        <w:t xml:space="preserve"> </w:t>
      </w:r>
      <w:r w:rsidR="00856E5A" w:rsidRPr="00856E5A">
        <w:rPr>
          <w:lang w:eastAsia="cs-CZ"/>
        </w:rPr>
        <w:t>bola vykonaná</w:t>
      </w:r>
      <w:r w:rsidR="00856E5A" w:rsidRPr="00856E5A">
        <w:rPr>
          <w:b/>
          <w:lang w:eastAsia="cs-CZ"/>
        </w:rPr>
        <w:t xml:space="preserve"> </w:t>
      </w:r>
      <w:r w:rsidR="00856E5A" w:rsidRPr="00856E5A">
        <w:rPr>
          <w:lang w:eastAsia="cs-CZ"/>
        </w:rPr>
        <w:t>kontrola zostavenia konsolidovanej účtovnej zá</w:t>
      </w:r>
      <w:r w:rsidR="007924FA">
        <w:rPr>
          <w:lang w:eastAsia="cs-CZ"/>
        </w:rPr>
        <w:t>vierky mesta Šamorín za rok 20</w:t>
      </w:r>
      <w:r w:rsidR="00C82A2A">
        <w:rPr>
          <w:lang w:eastAsia="cs-CZ"/>
        </w:rPr>
        <w:t>21</w:t>
      </w:r>
      <w:r w:rsidR="007924FA">
        <w:rPr>
          <w:lang w:eastAsia="cs-CZ"/>
        </w:rPr>
        <w:t xml:space="preserve"> a overenie súladu konsolidovanej výročnej správe s KÚZ</w:t>
      </w:r>
      <w:r w:rsidR="00856E5A" w:rsidRPr="00856E5A">
        <w:rPr>
          <w:lang w:eastAsia="cs-CZ"/>
        </w:rPr>
        <w:t>.</w:t>
      </w:r>
    </w:p>
    <w:p w14:paraId="50FB2A08" w14:textId="77777777" w:rsidR="00BB1347" w:rsidRDefault="00BB1347" w:rsidP="00856E5A">
      <w:pPr>
        <w:spacing w:line="360" w:lineRule="auto"/>
        <w:jc w:val="both"/>
        <w:rPr>
          <w:lang w:eastAsia="cs-CZ"/>
        </w:rPr>
      </w:pPr>
      <w:r w:rsidRPr="00EC71B8">
        <w:rPr>
          <w:b/>
          <w:bCs/>
          <w:lang w:eastAsia="cs-CZ"/>
        </w:rPr>
        <w:t>/Správa č. 20</w:t>
      </w:r>
      <w:r w:rsidR="00C82A2A" w:rsidRPr="00EC71B8">
        <w:rPr>
          <w:b/>
          <w:bCs/>
          <w:lang w:eastAsia="cs-CZ"/>
        </w:rPr>
        <w:t>2</w:t>
      </w:r>
      <w:r w:rsidR="009A2F6A" w:rsidRPr="00EC71B8">
        <w:rPr>
          <w:b/>
          <w:bCs/>
          <w:lang w:eastAsia="cs-CZ"/>
        </w:rPr>
        <w:t>2</w:t>
      </w:r>
      <w:r w:rsidRPr="00EC71B8">
        <w:rPr>
          <w:b/>
          <w:bCs/>
          <w:lang w:eastAsia="cs-CZ"/>
        </w:rPr>
        <w:t>/KONS/Mesto Šamorín</w:t>
      </w:r>
      <w:r w:rsidR="00765005">
        <w:rPr>
          <w:lang w:eastAsia="cs-CZ"/>
        </w:rPr>
        <w:t xml:space="preserve"> zo dňa 25.06.2022</w:t>
      </w:r>
      <w:r>
        <w:rPr>
          <w:lang w:eastAsia="cs-CZ"/>
        </w:rPr>
        <w:t>/</w:t>
      </w:r>
    </w:p>
    <w:p w14:paraId="4E88618D" w14:textId="77777777" w:rsidR="00BB1347" w:rsidRDefault="007924FA" w:rsidP="00856E5A">
      <w:pPr>
        <w:spacing w:line="360" w:lineRule="auto"/>
        <w:jc w:val="both"/>
        <w:rPr>
          <w:lang w:eastAsia="cs-CZ"/>
        </w:rPr>
      </w:pPr>
      <w:bookmarkStart w:id="2" w:name="_Hlk144325090"/>
      <w:r>
        <w:rPr>
          <w:lang w:eastAsia="cs-CZ"/>
        </w:rPr>
        <w:t xml:space="preserve">Cieľom kontroly bolo overenie správnosti zostavenia </w:t>
      </w:r>
      <w:r w:rsidRPr="007924FA">
        <w:rPr>
          <w:lang w:eastAsia="cs-CZ"/>
        </w:rPr>
        <w:t xml:space="preserve"> ko</w:t>
      </w:r>
      <w:r>
        <w:rPr>
          <w:lang w:eastAsia="cs-CZ"/>
        </w:rPr>
        <w:t xml:space="preserve">nsolidovanej účtovnej závierky  konsolidujúcej účtovnej jednotky  mesta Šamorín, </w:t>
      </w:r>
      <w:r w:rsidRPr="007924FA">
        <w:rPr>
          <w:lang w:eastAsia="cs-CZ"/>
        </w:rPr>
        <w:t xml:space="preserve"> ktorá obsahuje konsolidovanú súvahu k 31. decembru 20</w:t>
      </w:r>
      <w:r w:rsidR="00653F68">
        <w:rPr>
          <w:lang w:eastAsia="cs-CZ"/>
        </w:rPr>
        <w:t>21</w:t>
      </w:r>
      <w:r w:rsidRPr="007924FA">
        <w:rPr>
          <w:lang w:eastAsia="cs-CZ"/>
        </w:rPr>
        <w:t>, konsolidovaný výkaz ziskov a strát za rok končiaci sa k uvedenému dátumu, a poznámky, ktoré obsahujú súhrn významných účtovných zásad a účtovných metód.</w:t>
      </w:r>
    </w:p>
    <w:p w14:paraId="61134699" w14:textId="77777777" w:rsidR="007924FA" w:rsidRDefault="007924FA" w:rsidP="00856E5A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t>Ďalším cieľom kontroly bolo overenie  konsolidovanej výročnej správy</w:t>
      </w:r>
      <w:r w:rsidRPr="007924FA">
        <w:rPr>
          <w:lang w:eastAsia="cs-CZ"/>
        </w:rPr>
        <w:t xml:space="preserve"> a posúdenie, či</w:t>
      </w:r>
      <w:r>
        <w:rPr>
          <w:lang w:eastAsia="cs-CZ"/>
        </w:rPr>
        <w:t xml:space="preserve"> </w:t>
      </w:r>
      <w:r w:rsidRPr="007924FA">
        <w:rPr>
          <w:lang w:eastAsia="cs-CZ"/>
        </w:rPr>
        <w:t xml:space="preserve"> i</w:t>
      </w:r>
      <w:r>
        <w:rPr>
          <w:lang w:eastAsia="cs-CZ"/>
        </w:rPr>
        <w:t xml:space="preserve">nformácie uvedené v konsolidovanej výročnej správe sú v súlade s </w:t>
      </w:r>
      <w:r w:rsidRPr="007924FA">
        <w:rPr>
          <w:lang w:eastAsia="cs-CZ"/>
        </w:rPr>
        <w:t>konsolidovanou účtovnou</w:t>
      </w:r>
      <w:r>
        <w:rPr>
          <w:lang w:eastAsia="cs-CZ"/>
        </w:rPr>
        <w:t xml:space="preserve"> závierkou.</w:t>
      </w:r>
    </w:p>
    <w:bookmarkEnd w:id="2"/>
    <w:p w14:paraId="3B883665" w14:textId="77777777" w:rsidR="00EF6ADF" w:rsidRDefault="00EF6ADF" w:rsidP="00856E5A">
      <w:pPr>
        <w:spacing w:line="360" w:lineRule="auto"/>
        <w:jc w:val="both"/>
        <w:rPr>
          <w:lang w:eastAsia="cs-CZ"/>
        </w:rPr>
      </w:pPr>
    </w:p>
    <w:p w14:paraId="739BA039" w14:textId="77777777" w:rsidR="007924FA" w:rsidRPr="00EC71B8" w:rsidRDefault="007924FA" w:rsidP="00856E5A">
      <w:pPr>
        <w:spacing w:line="360" w:lineRule="auto"/>
        <w:jc w:val="both"/>
        <w:rPr>
          <w:b/>
          <w:bCs/>
          <w:lang w:eastAsia="cs-CZ"/>
        </w:rPr>
      </w:pPr>
      <w:r w:rsidRPr="00EC71B8">
        <w:rPr>
          <w:b/>
          <w:bCs/>
          <w:lang w:eastAsia="cs-CZ"/>
        </w:rPr>
        <w:t>Záver:</w:t>
      </w:r>
    </w:p>
    <w:p w14:paraId="345E9B40" w14:textId="77777777" w:rsidR="003935F3" w:rsidRDefault="00856E5A" w:rsidP="003935F3">
      <w:pPr>
        <w:spacing w:line="360" w:lineRule="auto"/>
        <w:jc w:val="both"/>
        <w:rPr>
          <w:lang w:eastAsia="cs-CZ"/>
        </w:rPr>
      </w:pPr>
      <w:r w:rsidRPr="00856E5A">
        <w:rPr>
          <w:lang w:eastAsia="cs-CZ"/>
        </w:rPr>
        <w:t xml:space="preserve"> </w:t>
      </w:r>
      <w:bookmarkStart w:id="3" w:name="_Hlk144325780"/>
      <w:r w:rsidR="007924FA">
        <w:rPr>
          <w:lang w:eastAsia="cs-CZ"/>
        </w:rPr>
        <w:t xml:space="preserve">„ </w:t>
      </w:r>
      <w:r w:rsidR="003935F3">
        <w:rPr>
          <w:lang w:eastAsia="cs-CZ"/>
        </w:rPr>
        <w:t> Konsolidovaná  účtovná</w:t>
      </w:r>
      <w:r w:rsidRPr="00856E5A">
        <w:rPr>
          <w:lang w:eastAsia="cs-CZ"/>
        </w:rPr>
        <w:t xml:space="preserve"> závie</w:t>
      </w:r>
      <w:r w:rsidR="003935F3">
        <w:rPr>
          <w:lang w:eastAsia="cs-CZ"/>
        </w:rPr>
        <w:t xml:space="preserve">rka mesta Šamorín bola zostavená v súlade so zákonom o účtovníctve, informácie uvedené v  konsolidovanej výročnej správe sú v súlade s </w:t>
      </w:r>
      <w:r w:rsidR="003935F3" w:rsidRPr="007924FA">
        <w:rPr>
          <w:lang w:eastAsia="cs-CZ"/>
        </w:rPr>
        <w:t>konsolidovanou účtovnou</w:t>
      </w:r>
      <w:r w:rsidR="003935F3">
        <w:rPr>
          <w:lang w:eastAsia="cs-CZ"/>
        </w:rPr>
        <w:t xml:space="preserve"> závierkou.“</w:t>
      </w:r>
    </w:p>
    <w:bookmarkEnd w:id="3"/>
    <w:p w14:paraId="2C76B97F" w14:textId="77777777" w:rsidR="00856E5A" w:rsidRPr="00856E5A" w:rsidRDefault="00856E5A" w:rsidP="00856E5A">
      <w:pPr>
        <w:spacing w:line="360" w:lineRule="auto"/>
        <w:jc w:val="both"/>
        <w:rPr>
          <w:lang w:eastAsia="cs-CZ"/>
        </w:rPr>
      </w:pPr>
    </w:p>
    <w:p w14:paraId="61B70F68" w14:textId="77777777" w:rsidR="00856E5A" w:rsidRPr="00856E5A" w:rsidRDefault="00856E5A" w:rsidP="00EF6ADF">
      <w:pPr>
        <w:spacing w:line="360" w:lineRule="auto"/>
        <w:jc w:val="both"/>
        <w:rPr>
          <w:iCs/>
          <w:lang w:eastAsia="cs-CZ"/>
        </w:rPr>
      </w:pPr>
      <w:r w:rsidRPr="00856E5A">
        <w:rPr>
          <w:iCs/>
          <w:lang w:eastAsia="cs-CZ"/>
        </w:rPr>
        <w:lastRenderedPageBreak/>
        <w:t xml:space="preserve">Počas </w:t>
      </w:r>
      <w:r w:rsidR="00CD03FE">
        <w:rPr>
          <w:b/>
          <w:iCs/>
          <w:lang w:eastAsia="cs-CZ"/>
        </w:rPr>
        <w:t>2. polroku 20</w:t>
      </w:r>
      <w:r w:rsidR="00132EFF">
        <w:rPr>
          <w:b/>
          <w:iCs/>
          <w:lang w:eastAsia="cs-CZ"/>
        </w:rPr>
        <w:t>22</w:t>
      </w:r>
      <w:r w:rsidRPr="00856E5A">
        <w:rPr>
          <w:iCs/>
          <w:lang w:eastAsia="cs-CZ"/>
        </w:rPr>
        <w:t xml:space="preserve"> sa  priebežne vykonávali</w:t>
      </w:r>
      <w:r w:rsidRPr="00856E5A">
        <w:rPr>
          <w:b/>
          <w:bCs/>
          <w:iCs/>
          <w:lang w:eastAsia="cs-CZ"/>
        </w:rPr>
        <w:t xml:space="preserve"> na MsÚ a v  mestských rozpočtových organizáciách </w:t>
      </w:r>
      <w:r w:rsidRPr="00856E5A">
        <w:rPr>
          <w:bCs/>
          <w:iCs/>
          <w:lang w:eastAsia="cs-CZ"/>
        </w:rPr>
        <w:t>následné finančné  kontroly v súlade so zákonom č. 357/2015 Z.z. o finančnej kontrole a audite a o zmene a doplnení niektorých zákonov v platnom znení</w:t>
      </w:r>
      <w:r w:rsidRPr="00856E5A">
        <w:rPr>
          <w:b/>
          <w:bCs/>
          <w:iCs/>
          <w:lang w:eastAsia="cs-CZ"/>
        </w:rPr>
        <w:t xml:space="preserve"> </w:t>
      </w:r>
      <w:r w:rsidRPr="00856E5A">
        <w:rPr>
          <w:iCs/>
          <w:lang w:eastAsia="cs-CZ"/>
        </w:rPr>
        <w:t>zamerané predovšetkým na dodržiavanie ustanovení zákona č. 369/1990 Zb. o obecnom zriadení,  zákona č. 583/2004 o rozpočtových pravidlách územnej samosprávy a zmene a doplnení niektorých zákonov, zákona č. 523/2004 o rozpočtových pravidlách verejnej správy, zákona č. 138/1991 Zb. o majetku obcí v z. n. p , 431/2002 Z.z. o účtovníctve v z. n. p.  a vnútorných predpisov a nariadení mesta. Kontrolné zistenia boli odstránené počas kontroly.</w:t>
      </w:r>
    </w:p>
    <w:p w14:paraId="46D6F38E" w14:textId="77777777" w:rsidR="00856E5A" w:rsidRDefault="00856E5A" w:rsidP="00EF6ADF">
      <w:pPr>
        <w:spacing w:line="360" w:lineRule="auto"/>
        <w:jc w:val="both"/>
        <w:rPr>
          <w:iCs/>
          <w:lang w:eastAsia="cs-CZ"/>
        </w:rPr>
      </w:pPr>
    </w:p>
    <w:p w14:paraId="23A65A01" w14:textId="3C50A802" w:rsidR="00EF6ADF" w:rsidRPr="00EC71B8" w:rsidRDefault="00CD03FE" w:rsidP="00EF6ADF">
      <w:pPr>
        <w:spacing w:line="360" w:lineRule="auto"/>
        <w:jc w:val="both"/>
        <w:rPr>
          <w:b/>
          <w:bCs/>
          <w:iCs/>
          <w:lang w:eastAsia="cs-CZ"/>
        </w:rPr>
      </w:pPr>
      <w:r w:rsidRPr="00EC71B8">
        <w:rPr>
          <w:b/>
          <w:bCs/>
          <w:iCs/>
          <w:lang w:eastAsia="cs-CZ"/>
        </w:rPr>
        <w:t>Správa</w:t>
      </w:r>
      <w:r w:rsidR="00393D87" w:rsidRPr="00EC71B8">
        <w:rPr>
          <w:b/>
          <w:bCs/>
          <w:iCs/>
          <w:lang w:eastAsia="cs-CZ"/>
        </w:rPr>
        <w:t xml:space="preserve">  3A</w:t>
      </w:r>
      <w:r w:rsidRPr="00EC71B8">
        <w:rPr>
          <w:b/>
          <w:bCs/>
          <w:iCs/>
          <w:lang w:eastAsia="cs-CZ"/>
        </w:rPr>
        <w:t>/20</w:t>
      </w:r>
      <w:r w:rsidR="00887210" w:rsidRPr="00EC71B8">
        <w:rPr>
          <w:b/>
          <w:bCs/>
          <w:iCs/>
          <w:lang w:eastAsia="cs-CZ"/>
        </w:rPr>
        <w:t>2</w:t>
      </w:r>
      <w:r w:rsidR="002278CC" w:rsidRPr="00EC71B8">
        <w:rPr>
          <w:b/>
          <w:bCs/>
          <w:iCs/>
          <w:lang w:eastAsia="cs-CZ"/>
        </w:rPr>
        <w:t>2</w:t>
      </w:r>
      <w:r w:rsidRPr="00EC71B8">
        <w:rPr>
          <w:b/>
          <w:bCs/>
          <w:iCs/>
          <w:lang w:eastAsia="cs-CZ"/>
        </w:rPr>
        <w:t>/ZŠ Mateja Bela/ zo dňa 1</w:t>
      </w:r>
      <w:r w:rsidR="00887210" w:rsidRPr="00EC71B8">
        <w:rPr>
          <w:b/>
          <w:bCs/>
          <w:iCs/>
          <w:lang w:eastAsia="cs-CZ"/>
        </w:rPr>
        <w:t>8</w:t>
      </w:r>
      <w:r w:rsidRPr="00EC71B8">
        <w:rPr>
          <w:b/>
          <w:bCs/>
          <w:iCs/>
          <w:lang w:eastAsia="cs-CZ"/>
        </w:rPr>
        <w:t>.9.20</w:t>
      </w:r>
      <w:r w:rsidR="00887210" w:rsidRPr="00EC71B8">
        <w:rPr>
          <w:b/>
          <w:bCs/>
          <w:iCs/>
          <w:lang w:eastAsia="cs-CZ"/>
        </w:rPr>
        <w:t>2</w:t>
      </w:r>
      <w:r w:rsidR="002278CC" w:rsidRPr="00EC71B8">
        <w:rPr>
          <w:b/>
          <w:bCs/>
          <w:iCs/>
          <w:lang w:eastAsia="cs-CZ"/>
        </w:rPr>
        <w:t>2</w:t>
      </w:r>
    </w:p>
    <w:p w14:paraId="005D0DE9" w14:textId="77777777" w:rsidR="00EC71B8" w:rsidRPr="00EC71B8" w:rsidRDefault="00EC71B8" w:rsidP="00EF6ADF">
      <w:pPr>
        <w:spacing w:line="360" w:lineRule="auto"/>
        <w:jc w:val="both"/>
        <w:rPr>
          <w:b/>
          <w:bCs/>
          <w:iCs/>
          <w:lang w:eastAsia="cs-CZ"/>
        </w:rPr>
      </w:pPr>
    </w:p>
    <w:p w14:paraId="504F6CE6" w14:textId="7D4A293E" w:rsidR="00EF6ADF" w:rsidRPr="00EC71B8" w:rsidRDefault="00CD03FE" w:rsidP="00EF6ADF">
      <w:pPr>
        <w:spacing w:line="360" w:lineRule="auto"/>
        <w:jc w:val="both"/>
        <w:rPr>
          <w:b/>
          <w:bCs/>
          <w:iCs/>
          <w:lang w:eastAsia="cs-CZ"/>
        </w:rPr>
      </w:pPr>
      <w:r w:rsidRPr="00EC71B8">
        <w:rPr>
          <w:b/>
          <w:bCs/>
          <w:iCs/>
          <w:lang w:eastAsia="cs-CZ"/>
        </w:rPr>
        <w:t>Správa</w:t>
      </w:r>
      <w:r w:rsidR="00393D87" w:rsidRPr="00EC71B8">
        <w:rPr>
          <w:b/>
          <w:bCs/>
          <w:iCs/>
          <w:lang w:eastAsia="cs-CZ"/>
        </w:rPr>
        <w:t xml:space="preserve"> 3B/</w:t>
      </w:r>
      <w:r w:rsidRPr="00EC71B8">
        <w:rPr>
          <w:b/>
          <w:bCs/>
          <w:iCs/>
          <w:lang w:eastAsia="cs-CZ"/>
        </w:rPr>
        <w:t>20</w:t>
      </w:r>
      <w:r w:rsidR="00887210" w:rsidRPr="00EC71B8">
        <w:rPr>
          <w:b/>
          <w:bCs/>
          <w:iCs/>
          <w:lang w:eastAsia="cs-CZ"/>
        </w:rPr>
        <w:t>2</w:t>
      </w:r>
      <w:r w:rsidR="002278CC" w:rsidRPr="00EC71B8">
        <w:rPr>
          <w:b/>
          <w:bCs/>
          <w:iCs/>
          <w:lang w:eastAsia="cs-CZ"/>
        </w:rPr>
        <w:t>2</w:t>
      </w:r>
      <w:r w:rsidRPr="00EC71B8">
        <w:rPr>
          <w:b/>
          <w:bCs/>
          <w:iCs/>
          <w:lang w:eastAsia="cs-CZ"/>
        </w:rPr>
        <w:t xml:space="preserve">/Mateja </w:t>
      </w:r>
      <w:r w:rsidR="00861EBA" w:rsidRPr="00EC71B8">
        <w:rPr>
          <w:b/>
          <w:bCs/>
          <w:iCs/>
          <w:lang w:eastAsia="cs-CZ"/>
        </w:rPr>
        <w:t>Korvína</w:t>
      </w:r>
      <w:r w:rsidRPr="00EC71B8">
        <w:rPr>
          <w:b/>
          <w:bCs/>
          <w:iCs/>
          <w:lang w:eastAsia="cs-CZ"/>
        </w:rPr>
        <w:t xml:space="preserve"> s VJM/ zo dňa 1</w:t>
      </w:r>
      <w:r w:rsidR="00887210" w:rsidRPr="00EC71B8">
        <w:rPr>
          <w:b/>
          <w:bCs/>
          <w:iCs/>
          <w:lang w:eastAsia="cs-CZ"/>
        </w:rPr>
        <w:t>1</w:t>
      </w:r>
      <w:r w:rsidRPr="00EC71B8">
        <w:rPr>
          <w:b/>
          <w:bCs/>
          <w:iCs/>
          <w:lang w:eastAsia="cs-CZ"/>
        </w:rPr>
        <w:t>.10.20</w:t>
      </w:r>
      <w:r w:rsidR="00887210" w:rsidRPr="00EC71B8">
        <w:rPr>
          <w:b/>
          <w:bCs/>
          <w:iCs/>
          <w:lang w:eastAsia="cs-CZ"/>
        </w:rPr>
        <w:t>2</w:t>
      </w:r>
      <w:r w:rsidR="002278CC" w:rsidRPr="00EC71B8">
        <w:rPr>
          <w:b/>
          <w:bCs/>
          <w:iCs/>
          <w:lang w:eastAsia="cs-CZ"/>
        </w:rPr>
        <w:t>2</w:t>
      </w:r>
    </w:p>
    <w:p w14:paraId="3BBF0ED5" w14:textId="77777777" w:rsidR="00EC71B8" w:rsidRPr="00EC71B8" w:rsidRDefault="00EC71B8" w:rsidP="00EF6ADF">
      <w:pPr>
        <w:spacing w:line="360" w:lineRule="auto"/>
        <w:jc w:val="both"/>
        <w:rPr>
          <w:b/>
          <w:bCs/>
          <w:iCs/>
          <w:lang w:eastAsia="cs-CZ"/>
        </w:rPr>
      </w:pPr>
    </w:p>
    <w:p w14:paraId="47DCFCAE" w14:textId="211D2B88" w:rsidR="00EF6ADF" w:rsidRPr="00EC71B8" w:rsidRDefault="00CD03FE" w:rsidP="00EF6ADF">
      <w:pPr>
        <w:spacing w:line="360" w:lineRule="auto"/>
        <w:jc w:val="both"/>
        <w:rPr>
          <w:b/>
          <w:bCs/>
          <w:iCs/>
          <w:lang w:eastAsia="cs-CZ"/>
        </w:rPr>
      </w:pPr>
      <w:r w:rsidRPr="00EC71B8">
        <w:rPr>
          <w:b/>
          <w:bCs/>
          <w:iCs/>
          <w:lang w:eastAsia="cs-CZ"/>
        </w:rPr>
        <w:t>Správa</w:t>
      </w:r>
      <w:r w:rsidR="00393D87" w:rsidRPr="00EC71B8">
        <w:rPr>
          <w:b/>
          <w:bCs/>
          <w:iCs/>
          <w:lang w:eastAsia="cs-CZ"/>
        </w:rPr>
        <w:t xml:space="preserve"> 3C/</w:t>
      </w:r>
      <w:r w:rsidRPr="00EC71B8">
        <w:rPr>
          <w:b/>
          <w:bCs/>
          <w:iCs/>
          <w:lang w:eastAsia="cs-CZ"/>
        </w:rPr>
        <w:t>20</w:t>
      </w:r>
      <w:r w:rsidR="00887210" w:rsidRPr="00EC71B8">
        <w:rPr>
          <w:b/>
          <w:bCs/>
          <w:iCs/>
          <w:lang w:eastAsia="cs-CZ"/>
        </w:rPr>
        <w:t>2</w:t>
      </w:r>
      <w:r w:rsidR="002278CC" w:rsidRPr="00EC71B8">
        <w:rPr>
          <w:b/>
          <w:bCs/>
          <w:iCs/>
          <w:lang w:eastAsia="cs-CZ"/>
        </w:rPr>
        <w:t>2</w:t>
      </w:r>
      <w:r w:rsidRPr="00EC71B8">
        <w:rPr>
          <w:b/>
          <w:bCs/>
          <w:iCs/>
          <w:lang w:eastAsia="cs-CZ"/>
        </w:rPr>
        <w:t>/</w:t>
      </w:r>
      <w:r w:rsidRPr="00EC71B8">
        <w:rPr>
          <w:b/>
          <w:bCs/>
        </w:rPr>
        <w:t xml:space="preserve"> </w:t>
      </w:r>
      <w:r w:rsidRPr="00EC71B8">
        <w:rPr>
          <w:b/>
          <w:bCs/>
          <w:iCs/>
          <w:lang w:eastAsia="cs-CZ"/>
        </w:rPr>
        <w:t>Základná umelecká škola Štefana Németha – Šamorínskeho/ zo dňa 1</w:t>
      </w:r>
      <w:r w:rsidR="00887210" w:rsidRPr="00EC71B8">
        <w:rPr>
          <w:b/>
          <w:bCs/>
          <w:iCs/>
          <w:lang w:eastAsia="cs-CZ"/>
        </w:rPr>
        <w:t>6</w:t>
      </w:r>
      <w:r w:rsidRPr="00EC71B8">
        <w:rPr>
          <w:b/>
          <w:bCs/>
          <w:iCs/>
          <w:lang w:eastAsia="cs-CZ"/>
        </w:rPr>
        <w:t>.1</w:t>
      </w:r>
      <w:r w:rsidR="007C411E" w:rsidRPr="00EC71B8">
        <w:rPr>
          <w:b/>
          <w:bCs/>
          <w:iCs/>
          <w:lang w:eastAsia="cs-CZ"/>
        </w:rPr>
        <w:t>1</w:t>
      </w:r>
      <w:r w:rsidRPr="00EC71B8">
        <w:rPr>
          <w:b/>
          <w:bCs/>
          <w:iCs/>
          <w:lang w:eastAsia="cs-CZ"/>
        </w:rPr>
        <w:t>.20</w:t>
      </w:r>
      <w:r w:rsidR="00887210" w:rsidRPr="00EC71B8">
        <w:rPr>
          <w:b/>
          <w:bCs/>
          <w:iCs/>
          <w:lang w:eastAsia="cs-CZ"/>
        </w:rPr>
        <w:t>2</w:t>
      </w:r>
      <w:r w:rsidR="002278CC" w:rsidRPr="00EC71B8">
        <w:rPr>
          <w:b/>
          <w:bCs/>
          <w:iCs/>
          <w:lang w:eastAsia="cs-CZ"/>
        </w:rPr>
        <w:t>2</w:t>
      </w:r>
    </w:p>
    <w:p w14:paraId="06B2373C" w14:textId="77777777" w:rsidR="00EC71B8" w:rsidRPr="00EC71B8" w:rsidRDefault="00EC71B8" w:rsidP="00EF6ADF">
      <w:pPr>
        <w:spacing w:line="360" w:lineRule="auto"/>
        <w:jc w:val="both"/>
        <w:rPr>
          <w:b/>
          <w:bCs/>
          <w:iCs/>
          <w:lang w:eastAsia="cs-CZ"/>
        </w:rPr>
      </w:pPr>
    </w:p>
    <w:p w14:paraId="03D67E13" w14:textId="77777777" w:rsidR="00CD03FE" w:rsidRPr="00EC71B8" w:rsidRDefault="00CD03FE" w:rsidP="00EF6ADF">
      <w:pPr>
        <w:spacing w:line="360" w:lineRule="auto"/>
        <w:jc w:val="both"/>
        <w:rPr>
          <w:b/>
          <w:bCs/>
          <w:iCs/>
          <w:lang w:eastAsia="cs-CZ"/>
        </w:rPr>
      </w:pPr>
      <w:r w:rsidRPr="00EC71B8">
        <w:rPr>
          <w:b/>
          <w:bCs/>
          <w:iCs/>
          <w:lang w:eastAsia="cs-CZ"/>
        </w:rPr>
        <w:t>Správa</w:t>
      </w:r>
      <w:r w:rsidR="00393D87" w:rsidRPr="00EC71B8">
        <w:rPr>
          <w:b/>
          <w:bCs/>
          <w:iCs/>
          <w:lang w:eastAsia="cs-CZ"/>
        </w:rPr>
        <w:t xml:space="preserve">  3D</w:t>
      </w:r>
      <w:r w:rsidRPr="00EC71B8">
        <w:rPr>
          <w:b/>
          <w:bCs/>
          <w:iCs/>
          <w:lang w:eastAsia="cs-CZ"/>
        </w:rPr>
        <w:t>/20</w:t>
      </w:r>
      <w:r w:rsidR="00887210" w:rsidRPr="00EC71B8">
        <w:rPr>
          <w:b/>
          <w:bCs/>
          <w:iCs/>
          <w:lang w:eastAsia="cs-CZ"/>
        </w:rPr>
        <w:t>2</w:t>
      </w:r>
      <w:r w:rsidR="002278CC" w:rsidRPr="00EC71B8">
        <w:rPr>
          <w:b/>
          <w:bCs/>
          <w:iCs/>
          <w:lang w:eastAsia="cs-CZ"/>
        </w:rPr>
        <w:t>2</w:t>
      </w:r>
      <w:r w:rsidRPr="00EC71B8">
        <w:rPr>
          <w:b/>
          <w:bCs/>
          <w:iCs/>
          <w:lang w:eastAsia="cs-CZ"/>
        </w:rPr>
        <w:t>/</w:t>
      </w:r>
      <w:r w:rsidRPr="00EC71B8">
        <w:rPr>
          <w:b/>
          <w:bCs/>
        </w:rPr>
        <w:t xml:space="preserve"> </w:t>
      </w:r>
      <w:r w:rsidRPr="00EC71B8">
        <w:rPr>
          <w:b/>
          <w:bCs/>
          <w:iCs/>
          <w:lang w:eastAsia="cs-CZ"/>
        </w:rPr>
        <w:t>Mestské kultúrne stredisko/</w:t>
      </w:r>
      <w:r w:rsidR="00861EBA" w:rsidRPr="00EC71B8">
        <w:rPr>
          <w:b/>
          <w:bCs/>
          <w:iCs/>
          <w:lang w:eastAsia="cs-CZ"/>
        </w:rPr>
        <w:t xml:space="preserve"> zo dňa 1</w:t>
      </w:r>
      <w:r w:rsidR="00887210" w:rsidRPr="00EC71B8">
        <w:rPr>
          <w:b/>
          <w:bCs/>
          <w:iCs/>
          <w:lang w:eastAsia="cs-CZ"/>
        </w:rPr>
        <w:t>2</w:t>
      </w:r>
      <w:r w:rsidR="00861EBA" w:rsidRPr="00EC71B8">
        <w:rPr>
          <w:b/>
          <w:bCs/>
          <w:iCs/>
          <w:lang w:eastAsia="cs-CZ"/>
        </w:rPr>
        <w:t>.12 20</w:t>
      </w:r>
      <w:r w:rsidR="00887210" w:rsidRPr="00EC71B8">
        <w:rPr>
          <w:b/>
          <w:bCs/>
          <w:iCs/>
          <w:lang w:eastAsia="cs-CZ"/>
        </w:rPr>
        <w:t>2</w:t>
      </w:r>
      <w:r w:rsidR="002278CC" w:rsidRPr="00EC71B8">
        <w:rPr>
          <w:b/>
          <w:bCs/>
          <w:iCs/>
          <w:lang w:eastAsia="cs-CZ"/>
        </w:rPr>
        <w:t>2</w:t>
      </w:r>
    </w:p>
    <w:p w14:paraId="56AF50BB" w14:textId="77777777" w:rsidR="00EF6ADF" w:rsidRPr="00856E5A" w:rsidRDefault="00EF6ADF" w:rsidP="00EF6ADF">
      <w:pPr>
        <w:spacing w:line="360" w:lineRule="auto"/>
        <w:jc w:val="both"/>
        <w:rPr>
          <w:iCs/>
          <w:lang w:eastAsia="cs-CZ"/>
        </w:rPr>
      </w:pPr>
    </w:p>
    <w:p w14:paraId="1EB8E7C2" w14:textId="77777777" w:rsidR="00856E5A" w:rsidRPr="00856E5A" w:rsidRDefault="00856E5A" w:rsidP="00EF6ADF">
      <w:pPr>
        <w:spacing w:line="360" w:lineRule="auto"/>
        <w:jc w:val="both"/>
        <w:rPr>
          <w:iCs/>
          <w:lang w:eastAsia="cs-CZ"/>
        </w:rPr>
      </w:pPr>
    </w:p>
    <w:p w14:paraId="369FBE71" w14:textId="77777777" w:rsidR="00856E5A" w:rsidRPr="00856E5A" w:rsidRDefault="00CD03FE" w:rsidP="00EF6ADF">
      <w:pPr>
        <w:spacing w:line="360" w:lineRule="auto"/>
        <w:jc w:val="both"/>
        <w:rPr>
          <w:iCs/>
          <w:lang w:eastAsia="cs-CZ"/>
        </w:rPr>
      </w:pPr>
      <w:r>
        <w:rPr>
          <w:b/>
          <w:iCs/>
          <w:lang w:eastAsia="cs-CZ"/>
        </w:rPr>
        <w:t>Počas roku 20</w:t>
      </w:r>
      <w:r w:rsidR="00132EFF">
        <w:rPr>
          <w:b/>
          <w:iCs/>
          <w:lang w:eastAsia="cs-CZ"/>
        </w:rPr>
        <w:t>22</w:t>
      </w:r>
      <w:r w:rsidR="00856E5A" w:rsidRPr="00856E5A">
        <w:rPr>
          <w:iCs/>
          <w:lang w:eastAsia="cs-CZ"/>
        </w:rPr>
        <w:t xml:space="preserve"> na základe požiadaviek primátora mesta boli úspešne  riešené  sťažnosti občanov mesta.  </w:t>
      </w:r>
    </w:p>
    <w:p w14:paraId="2959BB09" w14:textId="77777777" w:rsidR="00856E5A" w:rsidRPr="00856E5A" w:rsidRDefault="00856E5A" w:rsidP="00856E5A">
      <w:pPr>
        <w:jc w:val="both"/>
        <w:rPr>
          <w:iCs/>
          <w:lang w:eastAsia="cs-CZ"/>
        </w:rPr>
      </w:pPr>
    </w:p>
    <w:p w14:paraId="726914C5" w14:textId="77777777" w:rsidR="00856E5A" w:rsidRDefault="00856E5A" w:rsidP="00856E5A">
      <w:pPr>
        <w:spacing w:line="360" w:lineRule="auto"/>
        <w:jc w:val="both"/>
        <w:rPr>
          <w:b/>
          <w:iCs/>
          <w:u w:val="single"/>
          <w:lang w:eastAsia="cs-CZ"/>
        </w:rPr>
      </w:pPr>
      <w:r w:rsidRPr="00856E5A">
        <w:rPr>
          <w:b/>
          <w:iCs/>
          <w:u w:val="single"/>
          <w:lang w:eastAsia="cs-CZ"/>
        </w:rPr>
        <w:t>Dodržiavanie právnych predpisov a účinnosť vnútorného kontrolného systému v mestských organizáciách  počas roku 2</w:t>
      </w:r>
      <w:r w:rsidR="00CD03FE">
        <w:rPr>
          <w:b/>
          <w:iCs/>
          <w:u w:val="single"/>
          <w:lang w:eastAsia="cs-CZ"/>
        </w:rPr>
        <w:t>0</w:t>
      </w:r>
      <w:r w:rsidR="00132EFF">
        <w:rPr>
          <w:b/>
          <w:iCs/>
          <w:u w:val="single"/>
          <w:lang w:eastAsia="cs-CZ"/>
        </w:rPr>
        <w:t>21</w:t>
      </w:r>
      <w:r w:rsidRPr="00856E5A">
        <w:rPr>
          <w:b/>
          <w:iCs/>
          <w:u w:val="single"/>
          <w:lang w:eastAsia="cs-CZ"/>
        </w:rPr>
        <w:t xml:space="preserve"> boli potvrdené aj správami nezávislých audítorov.</w:t>
      </w:r>
    </w:p>
    <w:p w14:paraId="444EB4DD" w14:textId="77777777" w:rsidR="00BB5860" w:rsidRPr="00856E5A" w:rsidRDefault="00BB5860" w:rsidP="00856E5A">
      <w:pPr>
        <w:spacing w:line="360" w:lineRule="auto"/>
        <w:jc w:val="both"/>
        <w:rPr>
          <w:b/>
          <w:iCs/>
          <w:u w:val="single"/>
          <w:lang w:eastAsia="cs-CZ"/>
        </w:rPr>
      </w:pPr>
    </w:p>
    <w:p w14:paraId="1A7D6053" w14:textId="77777777" w:rsidR="00856E5A" w:rsidRPr="00856E5A" w:rsidRDefault="00856E5A" w:rsidP="00856E5A">
      <w:pPr>
        <w:spacing w:line="360" w:lineRule="auto"/>
        <w:jc w:val="both"/>
        <w:rPr>
          <w:lang w:eastAsia="cs-CZ"/>
        </w:rPr>
      </w:pPr>
      <w:r w:rsidRPr="00856E5A">
        <w:rPr>
          <w:lang w:eastAsia="cs-CZ"/>
        </w:rPr>
        <w:t xml:space="preserve">     </w:t>
      </w:r>
      <w:r w:rsidR="00CD03FE">
        <w:rPr>
          <w:lang w:eastAsia="cs-CZ"/>
        </w:rPr>
        <w:t xml:space="preserve">V Šamoríne, dňa </w:t>
      </w:r>
      <w:r w:rsidR="00132EFF">
        <w:rPr>
          <w:lang w:eastAsia="cs-CZ"/>
        </w:rPr>
        <w:t>30.08.2023</w:t>
      </w:r>
      <w:r w:rsidRPr="00856E5A">
        <w:rPr>
          <w:lang w:eastAsia="cs-CZ"/>
        </w:rPr>
        <w:t xml:space="preserve">                          </w:t>
      </w:r>
    </w:p>
    <w:p w14:paraId="56E5020E" w14:textId="77777777" w:rsidR="00856E5A" w:rsidRDefault="00856E5A" w:rsidP="00856E5A">
      <w:pPr>
        <w:spacing w:line="360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856E5A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  </w:t>
      </w:r>
    </w:p>
    <w:p w14:paraId="2A8CABE1" w14:textId="77777777" w:rsidR="00856E5A" w:rsidRPr="00856E5A" w:rsidRDefault="00856E5A" w:rsidP="00856E5A">
      <w:pPr>
        <w:spacing w:line="360" w:lineRule="auto"/>
        <w:ind w:left="3540" w:firstLine="708"/>
        <w:jc w:val="both"/>
        <w:rPr>
          <w:rFonts w:ascii="Arial" w:hAnsi="Arial" w:cs="Arial"/>
          <w:b/>
          <w:spacing w:val="10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        </w:t>
      </w:r>
      <w:r w:rsidRPr="00856E5A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56E5A">
        <w:rPr>
          <w:rFonts w:ascii="Arial" w:hAnsi="Arial" w:cs="Arial"/>
          <w:b/>
          <w:spacing w:val="10"/>
          <w:sz w:val="22"/>
          <w:szCs w:val="22"/>
          <w:lang w:eastAsia="cs-CZ"/>
        </w:rPr>
        <w:t xml:space="preserve">Ing. Ján Lelkes </w:t>
      </w:r>
    </w:p>
    <w:p w14:paraId="71AA9394" w14:textId="77777777" w:rsidR="00856E5A" w:rsidRPr="00856E5A" w:rsidRDefault="00856E5A" w:rsidP="00856E5A">
      <w:pPr>
        <w:spacing w:line="360" w:lineRule="auto"/>
        <w:ind w:left="2832" w:firstLine="708"/>
        <w:jc w:val="both"/>
        <w:rPr>
          <w:rFonts w:ascii="Arial" w:hAnsi="Arial" w:cs="Arial"/>
          <w:b/>
          <w:spacing w:val="10"/>
          <w:sz w:val="22"/>
          <w:szCs w:val="22"/>
          <w:lang w:eastAsia="cs-CZ"/>
        </w:rPr>
      </w:pPr>
      <w:r>
        <w:rPr>
          <w:rFonts w:ascii="Arial" w:hAnsi="Arial" w:cs="Arial"/>
          <w:b/>
          <w:spacing w:val="10"/>
          <w:sz w:val="22"/>
          <w:szCs w:val="22"/>
          <w:lang w:eastAsia="cs-CZ"/>
        </w:rPr>
        <w:t xml:space="preserve">               </w:t>
      </w:r>
      <w:r w:rsidRPr="00856E5A">
        <w:rPr>
          <w:rFonts w:ascii="Arial" w:hAnsi="Arial" w:cs="Arial"/>
          <w:b/>
          <w:spacing w:val="10"/>
          <w:sz w:val="22"/>
          <w:szCs w:val="22"/>
          <w:lang w:eastAsia="cs-CZ"/>
        </w:rPr>
        <w:t>Hlavný kontrolór mesta Šamorín</w:t>
      </w:r>
    </w:p>
    <w:p w14:paraId="37EC817D" w14:textId="77777777" w:rsidR="00746CDA" w:rsidRDefault="00746CDA" w:rsidP="00544BC7">
      <w:pPr>
        <w:spacing w:before="480"/>
        <w:jc w:val="both"/>
      </w:pPr>
    </w:p>
    <w:sectPr w:rsidR="00746CDA" w:rsidSect="00DB40EF">
      <w:headerReference w:type="default" r:id="rId12"/>
      <w:footerReference w:type="default" r:id="rId13"/>
      <w:headerReference w:type="first" r:id="rId14"/>
      <w:pgSz w:w="11906" w:h="16838"/>
      <w:pgMar w:top="1099" w:right="1417" w:bottom="426" w:left="1417" w:header="708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B90F" w14:textId="77777777" w:rsidR="004F7790" w:rsidRDefault="004F7790">
      <w:r>
        <w:separator/>
      </w:r>
    </w:p>
  </w:endnote>
  <w:endnote w:type="continuationSeparator" w:id="0">
    <w:p w14:paraId="7A00787D" w14:textId="77777777" w:rsidR="004F7790" w:rsidRDefault="004F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A4E0" w14:textId="77777777" w:rsidR="00C31BC1" w:rsidRDefault="00C31BC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1485">
      <w:rPr>
        <w:noProof/>
      </w:rPr>
      <w:t>8</w:t>
    </w:r>
    <w:r>
      <w:rPr>
        <w:noProof/>
      </w:rPr>
      <w:fldChar w:fldCharType="end"/>
    </w:r>
  </w:p>
  <w:p w14:paraId="21050373" w14:textId="77777777" w:rsidR="00C31BC1" w:rsidRDefault="00C31B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4368" w14:textId="77777777" w:rsidR="004F7790" w:rsidRDefault="004F7790">
      <w:r>
        <w:separator/>
      </w:r>
    </w:p>
  </w:footnote>
  <w:footnote w:type="continuationSeparator" w:id="0">
    <w:p w14:paraId="69894DE3" w14:textId="77777777" w:rsidR="004F7790" w:rsidRDefault="004F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FE4" w14:textId="77777777" w:rsidR="00C31BC1" w:rsidRPr="00DB40EF" w:rsidRDefault="00C31BC1" w:rsidP="00DB40EF">
    <w:pPr>
      <w:pStyle w:val="Nadpis1"/>
      <w:ind w:left="1418"/>
      <w:jc w:val="right"/>
      <w:rPr>
        <w:spacing w:val="20"/>
      </w:rPr>
    </w:pPr>
    <w:r w:rsidRPr="00DB40EF">
      <w:rPr>
        <w:spacing w:val="20"/>
      </w:rPr>
      <w:t>Materiál na rokovanie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78F2" w14:textId="77777777" w:rsidR="00C31BC1" w:rsidRDefault="00C31BC1" w:rsidP="002B53FD">
    <w:pPr>
      <w:pStyle w:val="Nadpis1"/>
      <w:spacing w:before="240"/>
      <w:ind w:left="1418"/>
      <w:rPr>
        <w:b/>
        <w:i/>
        <w:spacing w:val="20"/>
        <w:sz w:val="28"/>
        <w:szCs w:val="28"/>
      </w:rPr>
    </w:pPr>
    <w:r>
      <w:rPr>
        <w:noProof/>
        <w:spacing w:val="60"/>
        <w:sz w:val="24"/>
      </w:rPr>
      <w:drawing>
        <wp:anchor distT="0" distB="0" distL="114300" distR="114300" simplePos="0" relativeHeight="251657728" behindDoc="1" locked="0" layoutInCell="1" allowOverlap="1" wp14:anchorId="18066000" wp14:editId="479D9CC4">
          <wp:simplePos x="0" y="0"/>
          <wp:positionH relativeFrom="column">
            <wp:posOffset>189865</wp:posOffset>
          </wp:positionH>
          <wp:positionV relativeFrom="paragraph">
            <wp:posOffset>33655</wp:posOffset>
          </wp:positionV>
          <wp:extent cx="446405" cy="535305"/>
          <wp:effectExtent l="19050" t="0" r="0" b="0"/>
          <wp:wrapNone/>
          <wp:docPr id="2" name="Obrázok 2" descr="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i/>
        <w:spacing w:val="20"/>
        <w:sz w:val="28"/>
        <w:szCs w:val="28"/>
      </w:rPr>
      <w:t>Mestský úrad, Hlavná 37, 931 01 Šamorín</w:t>
    </w:r>
  </w:p>
  <w:p w14:paraId="1432AE30" w14:textId="77777777" w:rsidR="00C31BC1" w:rsidRDefault="00C31BC1" w:rsidP="002B53FD">
    <w:pPr>
      <w:pStyle w:val="Nadpis1"/>
      <w:ind w:left="1418"/>
      <w:rPr>
        <w:b/>
        <w:i/>
        <w:spacing w:val="20"/>
        <w:sz w:val="28"/>
      </w:rPr>
    </w:pPr>
    <w:r>
      <w:rPr>
        <w:b/>
        <w:i/>
        <w:spacing w:val="20"/>
        <w:sz w:val="28"/>
        <w:szCs w:val="28"/>
      </w:rPr>
      <w:t xml:space="preserve">Városi hivatal, </w:t>
    </w:r>
    <w:r>
      <w:rPr>
        <w:b/>
        <w:i/>
        <w:spacing w:val="20"/>
        <w:sz w:val="28"/>
      </w:rPr>
      <w:t>Fő utca 37,  931 01 Somorja</w:t>
    </w:r>
  </w:p>
  <w:p w14:paraId="77512BD8" w14:textId="77777777" w:rsidR="00C31BC1" w:rsidRPr="00862195" w:rsidRDefault="00C31BC1" w:rsidP="00862195">
    <w:pPr>
      <w:pStyle w:val="Hlavika"/>
      <w:pBdr>
        <w:bottom w:val="single" w:sz="4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0BD0"/>
    <w:multiLevelType w:val="hybridMultilevel"/>
    <w:tmpl w:val="CF9C09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14DCA"/>
    <w:multiLevelType w:val="hybridMultilevel"/>
    <w:tmpl w:val="4C8E6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217C5"/>
    <w:multiLevelType w:val="hybridMultilevel"/>
    <w:tmpl w:val="8C26125A"/>
    <w:lvl w:ilvl="0" w:tplc="F7C28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4792E"/>
    <w:multiLevelType w:val="hybridMultilevel"/>
    <w:tmpl w:val="F8F2FC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4725F"/>
    <w:multiLevelType w:val="hybridMultilevel"/>
    <w:tmpl w:val="43B04A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17661C"/>
    <w:multiLevelType w:val="hybridMultilevel"/>
    <w:tmpl w:val="5C4C2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12F94"/>
    <w:multiLevelType w:val="hybridMultilevel"/>
    <w:tmpl w:val="0E16BC66"/>
    <w:lvl w:ilvl="0" w:tplc="C8CA9C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B17FA5"/>
    <w:multiLevelType w:val="hybridMultilevel"/>
    <w:tmpl w:val="4F1681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6525604">
    <w:abstractNumId w:val="7"/>
  </w:num>
  <w:num w:numId="2" w16cid:durableId="1901675399">
    <w:abstractNumId w:val="4"/>
  </w:num>
  <w:num w:numId="3" w16cid:durableId="1196384876">
    <w:abstractNumId w:val="1"/>
  </w:num>
  <w:num w:numId="4" w16cid:durableId="408042392">
    <w:abstractNumId w:val="0"/>
  </w:num>
  <w:num w:numId="5" w16cid:durableId="830752117">
    <w:abstractNumId w:val="5"/>
  </w:num>
  <w:num w:numId="6" w16cid:durableId="1681733485">
    <w:abstractNumId w:val="6"/>
  </w:num>
  <w:num w:numId="7" w16cid:durableId="650209908">
    <w:abstractNumId w:val="3"/>
  </w:num>
  <w:num w:numId="8" w16cid:durableId="1743914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3B"/>
    <w:rsid w:val="00036C58"/>
    <w:rsid w:val="00073C07"/>
    <w:rsid w:val="00080DAB"/>
    <w:rsid w:val="00083C8D"/>
    <w:rsid w:val="000869B0"/>
    <w:rsid w:val="00095283"/>
    <w:rsid w:val="000A1601"/>
    <w:rsid w:val="000F1950"/>
    <w:rsid w:val="00100975"/>
    <w:rsid w:val="001043A1"/>
    <w:rsid w:val="00114ACF"/>
    <w:rsid w:val="001165DC"/>
    <w:rsid w:val="00124479"/>
    <w:rsid w:val="00126F3B"/>
    <w:rsid w:val="00132EFF"/>
    <w:rsid w:val="00137639"/>
    <w:rsid w:val="001437EE"/>
    <w:rsid w:val="00144318"/>
    <w:rsid w:val="00154FA6"/>
    <w:rsid w:val="00171608"/>
    <w:rsid w:val="00173DF8"/>
    <w:rsid w:val="0019763B"/>
    <w:rsid w:val="001A5046"/>
    <w:rsid w:val="001B675C"/>
    <w:rsid w:val="001C7670"/>
    <w:rsid w:val="001D0610"/>
    <w:rsid w:val="001E6C0D"/>
    <w:rsid w:val="00206577"/>
    <w:rsid w:val="002107F0"/>
    <w:rsid w:val="002278CC"/>
    <w:rsid w:val="00237091"/>
    <w:rsid w:val="0026205E"/>
    <w:rsid w:val="00271C6B"/>
    <w:rsid w:val="002757CC"/>
    <w:rsid w:val="002B53FD"/>
    <w:rsid w:val="00312008"/>
    <w:rsid w:val="00320B87"/>
    <w:rsid w:val="003351E1"/>
    <w:rsid w:val="003372B8"/>
    <w:rsid w:val="00342228"/>
    <w:rsid w:val="003639B5"/>
    <w:rsid w:val="00392FC0"/>
    <w:rsid w:val="003935F3"/>
    <w:rsid w:val="00393D87"/>
    <w:rsid w:val="003B3197"/>
    <w:rsid w:val="003B333A"/>
    <w:rsid w:val="003E4FA8"/>
    <w:rsid w:val="00421A2E"/>
    <w:rsid w:val="0046055F"/>
    <w:rsid w:val="00482DF9"/>
    <w:rsid w:val="004A6327"/>
    <w:rsid w:val="004B11CD"/>
    <w:rsid w:val="004E0211"/>
    <w:rsid w:val="004E567C"/>
    <w:rsid w:val="004F0001"/>
    <w:rsid w:val="004F7790"/>
    <w:rsid w:val="00522E19"/>
    <w:rsid w:val="00544BC7"/>
    <w:rsid w:val="00552ACB"/>
    <w:rsid w:val="00553C48"/>
    <w:rsid w:val="00557E43"/>
    <w:rsid w:val="005632B0"/>
    <w:rsid w:val="0056695B"/>
    <w:rsid w:val="0057651A"/>
    <w:rsid w:val="00592220"/>
    <w:rsid w:val="005B141E"/>
    <w:rsid w:val="005C4E44"/>
    <w:rsid w:val="005C7684"/>
    <w:rsid w:val="005E4884"/>
    <w:rsid w:val="00610881"/>
    <w:rsid w:val="006233FE"/>
    <w:rsid w:val="00642DD1"/>
    <w:rsid w:val="00653F68"/>
    <w:rsid w:val="006545C1"/>
    <w:rsid w:val="006557C3"/>
    <w:rsid w:val="0070211B"/>
    <w:rsid w:val="00734953"/>
    <w:rsid w:val="00746CDA"/>
    <w:rsid w:val="00760152"/>
    <w:rsid w:val="00765005"/>
    <w:rsid w:val="00777C1D"/>
    <w:rsid w:val="007839AD"/>
    <w:rsid w:val="007924FA"/>
    <w:rsid w:val="007C411E"/>
    <w:rsid w:val="007F17E3"/>
    <w:rsid w:val="00806F9D"/>
    <w:rsid w:val="00824377"/>
    <w:rsid w:val="00826FE1"/>
    <w:rsid w:val="008271BE"/>
    <w:rsid w:val="00836E76"/>
    <w:rsid w:val="00853AD8"/>
    <w:rsid w:val="00856E5A"/>
    <w:rsid w:val="0085773E"/>
    <w:rsid w:val="00861EBA"/>
    <w:rsid w:val="00862195"/>
    <w:rsid w:val="00864ED9"/>
    <w:rsid w:val="00873032"/>
    <w:rsid w:val="008751D4"/>
    <w:rsid w:val="00887210"/>
    <w:rsid w:val="008A7D13"/>
    <w:rsid w:val="008B40A5"/>
    <w:rsid w:val="008D32F3"/>
    <w:rsid w:val="008D7AD6"/>
    <w:rsid w:val="008E609A"/>
    <w:rsid w:val="00911517"/>
    <w:rsid w:val="009167CC"/>
    <w:rsid w:val="009330FA"/>
    <w:rsid w:val="00944C5D"/>
    <w:rsid w:val="009479FE"/>
    <w:rsid w:val="00967759"/>
    <w:rsid w:val="00977AE0"/>
    <w:rsid w:val="0099430C"/>
    <w:rsid w:val="009A2F6A"/>
    <w:rsid w:val="009B136C"/>
    <w:rsid w:val="009B6C4B"/>
    <w:rsid w:val="009B7473"/>
    <w:rsid w:val="009D2011"/>
    <w:rsid w:val="009F034C"/>
    <w:rsid w:val="00A163CF"/>
    <w:rsid w:val="00A567EF"/>
    <w:rsid w:val="00A6210C"/>
    <w:rsid w:val="00A64A8A"/>
    <w:rsid w:val="00A7788C"/>
    <w:rsid w:val="00AA722C"/>
    <w:rsid w:val="00AE4621"/>
    <w:rsid w:val="00B02E35"/>
    <w:rsid w:val="00B0664C"/>
    <w:rsid w:val="00B30584"/>
    <w:rsid w:val="00B336DD"/>
    <w:rsid w:val="00B54056"/>
    <w:rsid w:val="00B65781"/>
    <w:rsid w:val="00B74B9A"/>
    <w:rsid w:val="00B83E8D"/>
    <w:rsid w:val="00BB1347"/>
    <w:rsid w:val="00BB5860"/>
    <w:rsid w:val="00BC1F58"/>
    <w:rsid w:val="00C111DB"/>
    <w:rsid w:val="00C12068"/>
    <w:rsid w:val="00C15B8C"/>
    <w:rsid w:val="00C25519"/>
    <w:rsid w:val="00C31BC1"/>
    <w:rsid w:val="00C37B0C"/>
    <w:rsid w:val="00C82A2A"/>
    <w:rsid w:val="00CC4064"/>
    <w:rsid w:val="00CD03FE"/>
    <w:rsid w:val="00CD17E2"/>
    <w:rsid w:val="00CD5083"/>
    <w:rsid w:val="00CD5D5F"/>
    <w:rsid w:val="00CF4634"/>
    <w:rsid w:val="00CF5CDE"/>
    <w:rsid w:val="00D11F73"/>
    <w:rsid w:val="00D17BDA"/>
    <w:rsid w:val="00D5770A"/>
    <w:rsid w:val="00D95A0C"/>
    <w:rsid w:val="00DA0E56"/>
    <w:rsid w:val="00DA0EAF"/>
    <w:rsid w:val="00DA299A"/>
    <w:rsid w:val="00DB0169"/>
    <w:rsid w:val="00DB40EF"/>
    <w:rsid w:val="00DC72B4"/>
    <w:rsid w:val="00DF3CA1"/>
    <w:rsid w:val="00DF462B"/>
    <w:rsid w:val="00DF6DFE"/>
    <w:rsid w:val="00E14331"/>
    <w:rsid w:val="00E15092"/>
    <w:rsid w:val="00E30F17"/>
    <w:rsid w:val="00E33FB4"/>
    <w:rsid w:val="00E469A7"/>
    <w:rsid w:val="00E51C53"/>
    <w:rsid w:val="00E60D18"/>
    <w:rsid w:val="00E71485"/>
    <w:rsid w:val="00E9021F"/>
    <w:rsid w:val="00EC71B8"/>
    <w:rsid w:val="00EF0BD9"/>
    <w:rsid w:val="00EF6ADF"/>
    <w:rsid w:val="00F26DE7"/>
    <w:rsid w:val="00F72736"/>
    <w:rsid w:val="00F82BD9"/>
    <w:rsid w:val="00F91398"/>
    <w:rsid w:val="00F9587E"/>
    <w:rsid w:val="00FA61BF"/>
    <w:rsid w:val="00FB2E00"/>
    <w:rsid w:val="00FB7154"/>
    <w:rsid w:val="00FC5FF5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A8FB41B"/>
  <w15:docId w15:val="{3C1B5D40-219E-45F9-941B-4111F729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1608"/>
    <w:rPr>
      <w:sz w:val="24"/>
      <w:szCs w:val="24"/>
    </w:rPr>
  </w:style>
  <w:style w:type="paragraph" w:styleId="Nadpis1">
    <w:name w:val="heading 1"/>
    <w:basedOn w:val="Normlny"/>
    <w:next w:val="Normlny"/>
    <w:qFormat/>
    <w:rsid w:val="0085773E"/>
    <w:pPr>
      <w:keepNext/>
      <w:outlineLvl w:val="0"/>
    </w:pPr>
    <w:rPr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77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77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85773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5773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59"/>
    <w:rsid w:val="009B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DB40EF"/>
    <w:rPr>
      <w:sz w:val="24"/>
      <w:szCs w:val="24"/>
    </w:rPr>
  </w:style>
  <w:style w:type="paragraph" w:customStyle="1" w:styleId="Default">
    <w:name w:val="Default"/>
    <w:rsid w:val="00F913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77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77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rsid w:val="0026205E"/>
    <w:pPr>
      <w:ind w:left="720"/>
      <w:contextualSpacing/>
    </w:pPr>
    <w:rPr>
      <w:lang w:eastAsia="cs-CZ"/>
    </w:rPr>
  </w:style>
  <w:style w:type="paragraph" w:styleId="Bezriadkovania">
    <w:name w:val="No Spacing"/>
    <w:uiPriority w:val="1"/>
    <w:qFormat/>
    <w:rsid w:val="009479FE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6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6DE7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856E5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">
    <w:name w:val="Grid Table 1 Light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3">
    <w:name w:val="Plain Table 3"/>
    <w:basedOn w:val="Normlnatabuka"/>
    <w:uiPriority w:val="43"/>
    <w:rsid w:val="009115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86B0-4905-4B01-A935-EA31F72D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Ervin Sarmany</cp:lastModifiedBy>
  <cp:revision>5</cp:revision>
  <cp:lastPrinted>2017-09-13T06:03:00Z</cp:lastPrinted>
  <dcterms:created xsi:type="dcterms:W3CDTF">2023-09-12T08:46:00Z</dcterms:created>
  <dcterms:modified xsi:type="dcterms:W3CDTF">2023-09-25T13:46:00Z</dcterms:modified>
</cp:coreProperties>
</file>